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D5B27" w14:textId="70F4112F" w:rsidR="00CA46BC" w:rsidRPr="005E794C" w:rsidRDefault="00A94113" w:rsidP="00CA46BC">
      <w:pPr>
        <w:pStyle w:val="3GPPHeader"/>
        <w:tabs>
          <w:tab w:val="clear" w:pos="1701"/>
          <w:tab w:val="clear" w:pos="9639"/>
          <w:tab w:val="left" w:pos="1800"/>
          <w:tab w:val="right" w:pos="9360"/>
        </w:tabs>
        <w:spacing w:after="0" w:line="240" w:lineRule="auto"/>
        <w:jc w:val="both"/>
        <w:rPr>
          <w:rFonts w:ascii="Arial" w:hAnsi="Arial"/>
          <w:sz w:val="20"/>
        </w:rPr>
      </w:pPr>
      <w:bookmarkStart w:id="0" w:name="_Ref409106980"/>
      <w:bookmarkStart w:id="1" w:name="_Ref387147111"/>
      <w:bookmarkStart w:id="2" w:name="_Ref416466774"/>
      <w:r>
        <w:rPr>
          <w:rFonts w:ascii="Arial" w:hAnsi="Arial"/>
          <w:sz w:val="20"/>
        </w:rPr>
        <w:t>3GPP TSG-RAN WG1#</w:t>
      </w:r>
      <w:r w:rsidR="001F30A5">
        <w:rPr>
          <w:rFonts w:ascii="Arial" w:hAnsi="Arial"/>
          <w:sz w:val="20"/>
        </w:rPr>
        <w:t>9</w:t>
      </w:r>
      <w:r>
        <w:rPr>
          <w:rFonts w:ascii="Arial" w:hAnsi="Arial"/>
          <w:sz w:val="20"/>
        </w:rPr>
        <w:t>0</w:t>
      </w:r>
      <w:r w:rsidR="001E312E">
        <w:rPr>
          <w:rFonts w:ascii="Arial" w:hAnsi="Arial"/>
          <w:sz w:val="20"/>
        </w:rPr>
        <w:t>bis</w:t>
      </w:r>
      <w:r w:rsidR="00CA46BC" w:rsidRPr="005E794C">
        <w:rPr>
          <w:rFonts w:ascii="Arial" w:hAnsi="Arial"/>
          <w:sz w:val="20"/>
        </w:rPr>
        <w:tab/>
      </w:r>
      <w:bookmarkStart w:id="3" w:name="_GoBack"/>
      <w:r w:rsidR="000F1D58">
        <w:rPr>
          <w:rFonts w:ascii="Arial" w:hAnsi="Arial"/>
          <w:sz w:val="20"/>
        </w:rPr>
        <w:t>R1-1717027</w:t>
      </w:r>
      <w:bookmarkEnd w:id="3"/>
    </w:p>
    <w:p w14:paraId="3F3ECDAC" w14:textId="54760677" w:rsidR="00CA46BC" w:rsidRPr="005E794C" w:rsidRDefault="001E312E" w:rsidP="00CA46BC">
      <w:pPr>
        <w:pStyle w:val="3GPPHeader"/>
        <w:tabs>
          <w:tab w:val="clear" w:pos="1701"/>
          <w:tab w:val="clear" w:pos="9639"/>
          <w:tab w:val="left" w:pos="1800"/>
          <w:tab w:val="right" w:pos="9360"/>
        </w:tabs>
        <w:spacing w:after="0" w:line="240" w:lineRule="auto"/>
        <w:jc w:val="both"/>
        <w:rPr>
          <w:rFonts w:ascii="Arial" w:hAnsi="Arial"/>
          <w:sz w:val="20"/>
        </w:rPr>
      </w:pPr>
      <w:r w:rsidRPr="001E312E">
        <w:rPr>
          <w:rFonts w:ascii="Arial" w:hAnsi="Arial"/>
          <w:sz w:val="20"/>
        </w:rPr>
        <w:t>Prague, Czech Republic, 9th – 13th October 2017</w:t>
      </w:r>
    </w:p>
    <w:p w14:paraId="6765058A"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p>
    <w:p w14:paraId="299278F8"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Source:</w:t>
      </w:r>
      <w:r w:rsidRPr="005E794C">
        <w:rPr>
          <w:rFonts w:ascii="Arial" w:hAnsi="Arial"/>
          <w:sz w:val="20"/>
        </w:rPr>
        <w:tab/>
        <w:t>Ericsson</w:t>
      </w:r>
    </w:p>
    <w:p w14:paraId="733782E7" w14:textId="13724A10"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Title:</w:t>
      </w:r>
      <w:r w:rsidRPr="005E794C">
        <w:rPr>
          <w:rFonts w:ascii="Arial" w:hAnsi="Arial"/>
          <w:sz w:val="20"/>
        </w:rPr>
        <w:tab/>
      </w:r>
      <w:r w:rsidR="00FB2FD5">
        <w:rPr>
          <w:rFonts w:ascii="Arial" w:hAnsi="Arial"/>
          <w:sz w:val="20"/>
        </w:rPr>
        <w:t>Improved FH randomization</w:t>
      </w:r>
      <w:r>
        <w:rPr>
          <w:rFonts w:ascii="Arial" w:hAnsi="Arial"/>
          <w:sz w:val="20"/>
        </w:rPr>
        <w:t xml:space="preserve"> for NB-IoT</w:t>
      </w:r>
      <w:r w:rsidR="00FB2FD5">
        <w:rPr>
          <w:rFonts w:ascii="Arial" w:hAnsi="Arial"/>
          <w:sz w:val="20"/>
        </w:rPr>
        <w:t xml:space="preserve"> Rel-14</w:t>
      </w:r>
    </w:p>
    <w:p w14:paraId="33A5DCB1" w14:textId="6A253DC9" w:rsidR="00CA46BC" w:rsidRPr="00CA46BC" w:rsidRDefault="001E312E" w:rsidP="00CA46BC">
      <w:pPr>
        <w:pStyle w:val="3GPPHeader"/>
        <w:tabs>
          <w:tab w:val="clear" w:pos="1701"/>
          <w:tab w:val="clear" w:pos="9639"/>
          <w:tab w:val="left" w:pos="1800"/>
          <w:tab w:val="right" w:pos="9360"/>
        </w:tabs>
        <w:spacing w:after="0" w:line="240" w:lineRule="auto"/>
        <w:jc w:val="both"/>
        <w:rPr>
          <w:rFonts w:ascii="Arial" w:hAnsi="Arial"/>
          <w:sz w:val="20"/>
          <w:lang w:val="en-US"/>
        </w:rPr>
      </w:pPr>
      <w:r>
        <w:rPr>
          <w:rFonts w:ascii="Arial" w:hAnsi="Arial"/>
          <w:sz w:val="20"/>
          <w:lang w:val="en-US"/>
        </w:rPr>
        <w:t>Agenda Item:</w:t>
      </w:r>
      <w:r>
        <w:rPr>
          <w:rFonts w:ascii="Arial" w:hAnsi="Arial"/>
          <w:sz w:val="20"/>
          <w:lang w:val="en-US"/>
        </w:rPr>
        <w:tab/>
        <w:t>6</w:t>
      </w:r>
      <w:r w:rsidR="00CA46BC" w:rsidRPr="00CA46BC">
        <w:rPr>
          <w:rFonts w:ascii="Arial" w:hAnsi="Arial"/>
          <w:sz w:val="20"/>
          <w:lang w:val="en-US"/>
        </w:rPr>
        <w:t>.</w:t>
      </w:r>
      <w:r w:rsidR="00172F7E">
        <w:rPr>
          <w:rFonts w:ascii="Arial" w:hAnsi="Arial"/>
          <w:sz w:val="20"/>
          <w:lang w:val="en-US"/>
        </w:rPr>
        <w:t>1.6</w:t>
      </w:r>
    </w:p>
    <w:p w14:paraId="7D10470B"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Document for:</w:t>
      </w:r>
      <w:r w:rsidRPr="005E794C">
        <w:rPr>
          <w:rFonts w:ascii="Arial" w:hAnsi="Arial"/>
          <w:sz w:val="20"/>
        </w:rPr>
        <w:tab/>
        <w:t>Discussion and Decision</w:t>
      </w:r>
    </w:p>
    <w:p w14:paraId="2542C127" w14:textId="5C6F8801" w:rsidR="008B1252" w:rsidRDefault="001B4C46" w:rsidP="00FB2FD5">
      <w:pPr>
        <w:pStyle w:val="Heading1"/>
      </w:pPr>
      <w:r w:rsidRPr="0018630C">
        <w:t>Introduction</w:t>
      </w:r>
      <w:bookmarkEnd w:id="0"/>
    </w:p>
    <w:p w14:paraId="68AB4777" w14:textId="2DF54C4A" w:rsidR="00FE369B" w:rsidRDefault="00FB2FD5" w:rsidP="00FB2FD5">
      <w:r>
        <w:t>In Release 15 NB-IoT contains an objective to improve NB-IoT false detection rate</w:t>
      </w:r>
      <w:r w:rsidR="00FE369B">
        <w:t xml:space="preserve"> due to inter-cell interference</w:t>
      </w:r>
      <w:r w:rsidR="001F30A5">
        <w:t xml:space="preserve"> </w:t>
      </w:r>
      <w:r w:rsidR="001F30A5">
        <w:fldChar w:fldCharType="begin"/>
      </w:r>
      <w:r w:rsidR="001F30A5">
        <w:instrText xml:space="preserve"> REF _Ref477769764 \r \h </w:instrText>
      </w:r>
      <w:r w:rsidR="001F30A5">
        <w:fldChar w:fldCharType="separate"/>
      </w:r>
      <w:r w:rsidR="002C5B75">
        <w:t>[1]</w:t>
      </w:r>
      <w:r w:rsidR="001F30A5">
        <w:fldChar w:fldCharType="end"/>
      </w:r>
      <w:r>
        <w:t>.</w:t>
      </w:r>
      <w:r w:rsidR="001F30A5">
        <w:t xml:space="preserve"> In </w:t>
      </w:r>
      <w:r w:rsidR="001F30A5">
        <w:fldChar w:fldCharType="begin"/>
      </w:r>
      <w:r w:rsidR="001F30A5">
        <w:instrText xml:space="preserve"> REF _Ref482283543 \r \h </w:instrText>
      </w:r>
      <w:r w:rsidR="001F30A5">
        <w:fldChar w:fldCharType="separate"/>
      </w:r>
      <w:r w:rsidR="002C5B75">
        <w:t>[2]</w:t>
      </w:r>
      <w:r w:rsidR="001F30A5">
        <w:fldChar w:fldCharType="end"/>
      </w:r>
      <w:r w:rsidR="001F30A5">
        <w:t xml:space="preserve"> an analysis show that NB-IoT possesses several tools to minimize the likelihood for NPRACH false alarm, with one particular exception. In case of time aligned cells with overlapping coverage areas the likelihood for false alarm in NPRACH CE level 0 may be non-negligible.</w:t>
      </w:r>
      <w:r w:rsidR="00FC3562">
        <w:t xml:space="preserve"> The reason for this is a reduced level of randomization in the frequency hopping </w:t>
      </w:r>
      <w:r w:rsidR="000E1D17">
        <w:t>pattern</w:t>
      </w:r>
      <w:r w:rsidR="00FC3562">
        <w:t xml:space="preserve"> defining the NPRACH </w:t>
      </w:r>
      <w:r w:rsidR="000E1D17">
        <w:t xml:space="preserve">transmission </w:t>
      </w:r>
      <w:r w:rsidR="00FC3562">
        <w:t>when two repetitions is configured in CE level 0.</w:t>
      </w:r>
    </w:p>
    <w:p w14:paraId="3DC17F95" w14:textId="6184BCD3" w:rsidR="00FB2FD5" w:rsidRPr="00FB2FD5" w:rsidRDefault="00FC3562" w:rsidP="00FB2FD5">
      <w:r>
        <w:t xml:space="preserve">From Release 14 and onwards NB-IoT supports system access on non-anchor carriers. </w:t>
      </w:r>
      <w:r w:rsidR="005450AA">
        <w:t>In this contribution we propose an improved randomization of the frequency hopping used between NPRACH repetitions</w:t>
      </w:r>
      <w:r w:rsidR="00531DA8">
        <w:t xml:space="preserve"> on non-anchor carriers</w:t>
      </w:r>
      <w:r w:rsidR="005450AA">
        <w:t xml:space="preserve">. By introducing this </w:t>
      </w:r>
      <w:r w:rsidR="00531DA8">
        <w:t>improvement already in Release 14 the risk for false detection is expected to be diminished.</w:t>
      </w:r>
      <w:r w:rsidR="00A93032">
        <w:t xml:space="preserve"> This paper is a resubmission of R1-1712636. </w:t>
      </w:r>
    </w:p>
    <w:p w14:paraId="080D1193" w14:textId="77777777" w:rsidR="00233DAA" w:rsidRDefault="00531DA8" w:rsidP="001B4C46">
      <w:pPr>
        <w:pStyle w:val="Heading1"/>
      </w:pPr>
      <w:r>
        <w:t xml:space="preserve">NB-IoT Release 13 NPRACH </w:t>
      </w:r>
    </w:p>
    <w:p w14:paraId="5B077DC9" w14:textId="7F3F2FF3" w:rsidR="001B4C46" w:rsidRDefault="00513864" w:rsidP="00233DAA">
      <w:pPr>
        <w:pStyle w:val="Heading2"/>
      </w:pPr>
      <w:r>
        <w:t>Existing d</w:t>
      </w:r>
      <w:r w:rsidR="00531DA8">
        <w:t>esign</w:t>
      </w:r>
    </w:p>
    <w:p w14:paraId="23833E65" w14:textId="5E344327" w:rsidR="00546859" w:rsidRDefault="00546859" w:rsidP="00546859">
      <w:pPr>
        <w:pStyle w:val="BodyText"/>
        <w:rPr>
          <w:rFonts w:cs="Arial"/>
          <w:sz w:val="20"/>
          <w:lang w:val="en-US" w:eastAsia="en-US"/>
        </w:rPr>
      </w:pPr>
      <w:r>
        <w:rPr>
          <w:rFonts w:cs="Arial"/>
        </w:rPr>
        <w:t>For NB-IoT a random access preamble corresponds to a random access symbol group that is constructed of 5 identical symbols and a cyclic prefix as illustrated in</w:t>
      </w:r>
      <w:r>
        <w:t xml:space="preserve"> Figure 1. </w:t>
      </w:r>
      <w:r>
        <w:rPr>
          <w:rFonts w:cs="Arial"/>
        </w:rPr>
        <w:t xml:space="preserve">Two CP lengths are supported, i.e. 66 us (Format 0) and 266 us (Format 1). </w:t>
      </w:r>
    </w:p>
    <w:p w14:paraId="7CFD6E12" w14:textId="77777777" w:rsidR="00546859" w:rsidRDefault="00546859" w:rsidP="00546859">
      <w:pPr>
        <w:pStyle w:val="BodyText"/>
        <w:jc w:val="center"/>
        <w:rPr>
          <w:rFonts w:cs="Arial"/>
        </w:rPr>
      </w:pPr>
      <w:r>
        <w:rPr>
          <w:rFonts w:ascii="Arial" w:eastAsia="Times New Roman" w:hAnsi="Arial"/>
          <w:spacing w:val="2"/>
          <w:sz w:val="20"/>
          <w:lang w:val="en-US"/>
        </w:rPr>
        <w:object w:dxaOrig="5424" w:dyaOrig="3108" w14:anchorId="7F60D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55.25pt" o:ole="">
            <v:imagedata r:id="rId8" o:title=""/>
          </v:shape>
          <o:OLEObject Type="Embed" ProgID="Visio.Drawing.15" ShapeID="_x0000_i1025" DrawAspect="Content" ObjectID="_1568258096" r:id="rId9"/>
        </w:object>
      </w:r>
      <w:r>
        <w:rPr>
          <w:rFonts w:cs="Arial"/>
        </w:rPr>
        <w:t xml:space="preserve"> </w:t>
      </w:r>
    </w:p>
    <w:p w14:paraId="2174B063" w14:textId="43B12584" w:rsidR="00546859" w:rsidRDefault="00546859" w:rsidP="00546859">
      <w:pPr>
        <w:pStyle w:val="BodyText"/>
        <w:jc w:val="center"/>
        <w:rPr>
          <w:rFonts w:cs="Arial"/>
        </w:rPr>
      </w:pPr>
      <w:r>
        <w:rPr>
          <w:rFonts w:cs="Arial"/>
        </w:rPr>
        <w:t xml:space="preserve">Figure </w:t>
      </w:r>
      <w:r>
        <w:rPr>
          <w:rFonts w:cs="Arial"/>
        </w:rPr>
        <w:fldChar w:fldCharType="begin"/>
      </w:r>
      <w:r>
        <w:rPr>
          <w:rFonts w:cs="Arial"/>
        </w:rPr>
        <w:instrText xml:space="preserve"> SEQ Figure \* ARABIC </w:instrText>
      </w:r>
      <w:r>
        <w:rPr>
          <w:rFonts w:cs="Arial"/>
        </w:rPr>
        <w:fldChar w:fldCharType="separate"/>
      </w:r>
      <w:r w:rsidR="00513864">
        <w:rPr>
          <w:rFonts w:cs="Arial"/>
          <w:noProof/>
        </w:rPr>
        <w:t>1</w:t>
      </w:r>
      <w:r>
        <w:rPr>
          <w:rFonts w:cs="Arial"/>
        </w:rPr>
        <w:fldChar w:fldCharType="end"/>
      </w:r>
      <w:r>
        <w:rPr>
          <w:rFonts w:cs="Arial"/>
          <w:b/>
          <w:bCs/>
        </w:rPr>
        <w:t xml:space="preserve"> </w:t>
      </w:r>
      <w:r>
        <w:rPr>
          <w:rFonts w:cs="Arial"/>
          <w:bCs/>
        </w:rPr>
        <w:t>Random access symbol group.</w:t>
      </w:r>
    </w:p>
    <w:p w14:paraId="149F8595" w14:textId="5B72FCC6" w:rsidR="00546859" w:rsidRDefault="00546859" w:rsidP="00546859">
      <w:pPr>
        <w:pStyle w:val="BodyText"/>
        <w:rPr>
          <w:rFonts w:cs="Arial"/>
        </w:rPr>
      </w:pPr>
      <w:r>
        <w:rPr>
          <w:rFonts w:cs="Arial"/>
        </w:rPr>
        <w:t xml:space="preserve">For a single NPRACH transmission the symbol group of </w:t>
      </w:r>
      <w:r w:rsidR="00E92890">
        <w:rPr>
          <w:rFonts w:cs="Arial"/>
        </w:rPr>
        <w:t>F</w:t>
      </w:r>
      <w:r>
        <w:rPr>
          <w:rFonts w:cs="Arial"/>
        </w:rPr>
        <w:t xml:space="preserve">igure 1 is hopping four times across at most seven sub-carriers as shown in figure 2. </w:t>
      </w:r>
      <w:r w:rsidR="00FC0E92">
        <w:rPr>
          <w:rFonts w:cs="Arial"/>
        </w:rPr>
        <w:t>The NPRACH preamble transmission</w:t>
      </w:r>
      <w:r>
        <w:rPr>
          <w:rFonts w:cs="Arial"/>
        </w:rPr>
        <w:t xml:space="preserve"> is uniquely defined by the first sub-carrier in the hopping pattern, i.e. the starting sub-carrier. In total 48 orthogonal preambles can be defined, one for each available starting sub-carrier.</w:t>
      </w:r>
    </w:p>
    <w:p w14:paraId="46D460C6" w14:textId="77777777" w:rsidR="00546859" w:rsidRDefault="00546859" w:rsidP="00546859">
      <w:pPr>
        <w:pStyle w:val="BodyText"/>
        <w:jc w:val="center"/>
        <w:rPr>
          <w:rFonts w:eastAsia="MS Mincho"/>
          <w:lang w:eastAsia="ja-JP"/>
        </w:rPr>
      </w:pPr>
      <w:r>
        <w:rPr>
          <w:rFonts w:ascii="Arial" w:eastAsia="Times New Roman" w:hAnsi="Arial"/>
          <w:spacing w:val="2"/>
          <w:sz w:val="20"/>
          <w:lang w:val="en-US"/>
        </w:rPr>
        <w:object w:dxaOrig="8556" w:dyaOrig="4116" w14:anchorId="4145B850">
          <v:shape id="_x0000_i1026" type="#_x0000_t75" style="width:427.5pt;height:205.5pt" o:ole="">
            <v:imagedata r:id="rId10" o:title=""/>
          </v:shape>
          <o:OLEObject Type="Embed" ProgID="Visio.Drawing.15" ShapeID="_x0000_i1026" DrawAspect="Content" ObjectID="_1568258097" r:id="rId11"/>
        </w:object>
      </w:r>
    </w:p>
    <w:p w14:paraId="5C9155E2" w14:textId="77777777" w:rsidR="00546859" w:rsidRDefault="00546859" w:rsidP="00546859">
      <w:pPr>
        <w:pStyle w:val="BodyText"/>
        <w:rPr>
          <w:rFonts w:eastAsia="Times New Roman" w:cs="Arial"/>
          <w:lang w:eastAsia="en-US"/>
        </w:rPr>
      </w:pPr>
    </w:p>
    <w:p w14:paraId="4E98A3A8" w14:textId="6E69E128" w:rsidR="00546859" w:rsidRDefault="00546859" w:rsidP="00546859">
      <w:pPr>
        <w:pStyle w:val="BodyText"/>
        <w:jc w:val="center"/>
        <w:rPr>
          <w:rFonts w:cs="Arial"/>
          <w:bCs/>
        </w:rPr>
      </w:pPr>
      <w:r>
        <w:rPr>
          <w:rFonts w:cs="Arial"/>
        </w:rPr>
        <w:t xml:space="preserve">Figure </w:t>
      </w:r>
      <w:r>
        <w:rPr>
          <w:rFonts w:cs="Arial"/>
        </w:rPr>
        <w:fldChar w:fldCharType="begin"/>
      </w:r>
      <w:r>
        <w:rPr>
          <w:rFonts w:cs="Arial"/>
        </w:rPr>
        <w:instrText xml:space="preserve"> SEQ Figure \* ARABIC </w:instrText>
      </w:r>
      <w:r>
        <w:rPr>
          <w:rFonts w:cs="Arial"/>
        </w:rPr>
        <w:fldChar w:fldCharType="separate"/>
      </w:r>
      <w:r w:rsidR="00513864">
        <w:rPr>
          <w:rFonts w:cs="Arial"/>
          <w:noProof/>
        </w:rPr>
        <w:t>2</w:t>
      </w:r>
      <w:r>
        <w:rPr>
          <w:rFonts w:cs="Arial"/>
        </w:rPr>
        <w:fldChar w:fldCharType="end"/>
      </w:r>
      <w:r>
        <w:rPr>
          <w:rFonts w:cs="Arial"/>
          <w:b/>
          <w:bCs/>
        </w:rPr>
        <w:t xml:space="preserve"> </w:t>
      </w:r>
      <w:r>
        <w:rPr>
          <w:rFonts w:cs="Arial"/>
          <w:bCs/>
        </w:rPr>
        <w:t>Random access frequency hopping symbol group</w:t>
      </w:r>
      <w:r w:rsidR="00FC0E92">
        <w:rPr>
          <w:rFonts w:cs="Arial"/>
          <w:bCs/>
        </w:rPr>
        <w:t>.</w:t>
      </w:r>
      <w:r>
        <w:rPr>
          <w:rFonts w:cs="Arial"/>
          <w:bCs/>
        </w:rPr>
        <w:t>.</w:t>
      </w:r>
    </w:p>
    <w:p w14:paraId="50CB34BA" w14:textId="77777777" w:rsidR="00546859" w:rsidRDefault="00546859" w:rsidP="00546859">
      <w:pPr>
        <w:pStyle w:val="BodyText"/>
        <w:jc w:val="center"/>
        <w:rPr>
          <w:rFonts w:cs="Arial"/>
          <w:bCs/>
        </w:rPr>
      </w:pPr>
    </w:p>
    <w:p w14:paraId="12EA7039" w14:textId="4FCC7A2B" w:rsidR="00546859" w:rsidRDefault="00546859" w:rsidP="00225B76">
      <w:pPr>
        <w:pStyle w:val="BodyText"/>
        <w:rPr>
          <w:rFonts w:eastAsia="MS Mincho"/>
          <w:lang w:eastAsia="ja-JP"/>
        </w:rPr>
      </w:pPr>
      <w:r>
        <w:rPr>
          <w:rFonts w:eastAsia="MS Mincho"/>
          <w:lang w:eastAsia="ja-JP"/>
        </w:rPr>
        <w:t xml:space="preserve">To support higher levels of coverage a CE level may be </w:t>
      </w:r>
      <w:r w:rsidR="002C5B75">
        <w:rPr>
          <w:rFonts w:eastAsia="MS Mincho"/>
          <w:lang w:eastAsia="ja-JP"/>
        </w:rPr>
        <w:t>associated</w:t>
      </w:r>
      <w:r>
        <w:rPr>
          <w:rFonts w:eastAsia="MS Mincho"/>
          <w:lang w:eastAsia="ja-JP"/>
        </w:rPr>
        <w:t xml:space="preserve"> with up to 128 repetitions of the </w:t>
      </w:r>
      <w:r>
        <w:rPr>
          <w:rFonts w:cs="Arial"/>
          <w:bCs/>
        </w:rPr>
        <w:t>frequency hopping symbol group</w:t>
      </w:r>
      <w:r>
        <w:rPr>
          <w:rFonts w:eastAsia="MS Mincho"/>
          <w:lang w:eastAsia="ja-JP"/>
        </w:rPr>
        <w:t xml:space="preserve">. A pseudo random frequency hop </w:t>
      </w:r>
      <w:r w:rsidR="0042692B" w:rsidRPr="0042692B">
        <w:rPr>
          <w:rFonts w:eastAsia="MS Mincho"/>
          <w:i/>
          <w:lang w:eastAsia="ja-JP"/>
        </w:rPr>
        <w:t>FH</w:t>
      </w:r>
      <w:r w:rsidR="0042692B">
        <w:rPr>
          <w:rFonts w:eastAsia="MS Mincho"/>
          <w:i/>
          <w:lang w:eastAsia="ja-JP"/>
        </w:rPr>
        <w:t xml:space="preserve"> </w:t>
      </w:r>
      <w:r w:rsidR="0042692B" w:rsidRPr="0042692B">
        <w:rPr>
          <w:rFonts w:eastAsia="MS Mincho"/>
          <w:i/>
          <w:lang w:eastAsia="ja-JP"/>
        </w:rPr>
        <w:t>=</w:t>
      </w:r>
      <w:r w:rsidR="0042692B">
        <w:rPr>
          <w:rFonts w:eastAsia="MS Mincho"/>
          <w:i/>
          <w:lang w:eastAsia="ja-JP"/>
        </w:rPr>
        <w:t xml:space="preserve"> </w:t>
      </w:r>
      <w:r>
        <w:rPr>
          <w:rFonts w:eastAsia="MS Mincho"/>
          <w:i/>
          <w:lang w:eastAsia="ja-JP"/>
        </w:rPr>
        <w:t>f(t)</w:t>
      </w:r>
      <w:r w:rsidR="0042692B">
        <w:rPr>
          <w:rFonts w:eastAsia="MS Mincho"/>
          <w:i/>
          <w:lang w:eastAsia="ja-JP"/>
        </w:rPr>
        <w:t xml:space="preserve"> - f(t-1)</w:t>
      </w:r>
      <w:r>
        <w:rPr>
          <w:rFonts w:eastAsia="MS Mincho"/>
          <w:i/>
          <w:lang w:eastAsia="ja-JP"/>
        </w:rPr>
        <w:t xml:space="preserve"> </w:t>
      </w:r>
      <w:r>
        <w:rPr>
          <w:rFonts w:eastAsia="MS Mincho"/>
          <w:lang w:eastAsia="ja-JP"/>
        </w:rPr>
        <w:t xml:space="preserve">is </w:t>
      </w:r>
      <w:r w:rsidR="00176E0B">
        <w:rPr>
          <w:rFonts w:eastAsia="MS Mincho"/>
          <w:lang w:eastAsia="ja-JP"/>
        </w:rPr>
        <w:t>specified</w:t>
      </w:r>
      <w:r>
        <w:rPr>
          <w:rFonts w:eastAsia="MS Mincho"/>
          <w:lang w:eastAsia="ja-JP"/>
        </w:rPr>
        <w:t xml:space="preserve"> </w:t>
      </w:r>
      <w:r w:rsidR="00176E0B">
        <w:rPr>
          <w:rFonts w:eastAsia="MS Mincho"/>
          <w:lang w:eastAsia="ja-JP"/>
        </w:rPr>
        <w:t xml:space="preserve">to be used </w:t>
      </w:r>
      <w:r>
        <w:rPr>
          <w:rFonts w:eastAsia="MS Mincho"/>
          <w:lang w:eastAsia="ja-JP"/>
        </w:rPr>
        <w:t>between</w:t>
      </w:r>
      <w:r w:rsidR="00370699">
        <w:rPr>
          <w:rFonts w:eastAsia="MS Mincho"/>
          <w:lang w:eastAsia="ja-JP"/>
        </w:rPr>
        <w:t xml:space="preserve"> </w:t>
      </w:r>
      <w:r w:rsidR="00027C7E">
        <w:rPr>
          <w:rFonts w:eastAsia="MS Mincho"/>
          <w:lang w:eastAsia="ja-JP"/>
        </w:rPr>
        <w:t>repeated</w:t>
      </w:r>
      <w:r>
        <w:rPr>
          <w:rFonts w:eastAsia="MS Mincho"/>
          <w:lang w:eastAsia="ja-JP"/>
        </w:rPr>
        <w:t xml:space="preserve"> </w:t>
      </w:r>
      <w:r w:rsidR="002C5B75">
        <w:rPr>
          <w:rFonts w:cs="Arial"/>
          <w:bCs/>
        </w:rPr>
        <w:t>frequency hopping symbol group</w:t>
      </w:r>
      <w:r w:rsidR="00027C7E">
        <w:rPr>
          <w:rFonts w:cs="Arial"/>
          <w:bCs/>
        </w:rPr>
        <w:t>s as</w:t>
      </w:r>
      <w:r>
        <w:rPr>
          <w:rFonts w:eastAsia="MS Mincho"/>
          <w:lang w:eastAsia="ja-JP"/>
        </w:rPr>
        <w:t xml:space="preserve"> illustrated in </w:t>
      </w:r>
      <w:r w:rsidR="002C5B75">
        <w:rPr>
          <w:rFonts w:eastAsia="MS Mincho"/>
          <w:lang w:eastAsia="ja-JP"/>
        </w:rPr>
        <w:t xml:space="preserve">Figure </w:t>
      </w:r>
      <w:r w:rsidR="00027C7E">
        <w:rPr>
          <w:rFonts w:eastAsia="MS Mincho"/>
          <w:lang w:eastAsia="ja-JP"/>
        </w:rPr>
        <w:t>3</w:t>
      </w:r>
      <w:r>
        <w:rPr>
          <w:rFonts w:eastAsia="MS Mincho"/>
          <w:lang w:eastAsia="ja-JP"/>
        </w:rPr>
        <w:t xml:space="preserve">. </w:t>
      </w:r>
    </w:p>
    <w:p w14:paraId="46DFE7BD" w14:textId="77777777" w:rsidR="00546859" w:rsidRDefault="00546859" w:rsidP="00546859">
      <w:pPr>
        <w:pStyle w:val="Caption"/>
        <w:rPr>
          <w:rFonts w:eastAsia="Times New Roman"/>
          <w:lang w:eastAsia="en-US"/>
        </w:rPr>
      </w:pPr>
    </w:p>
    <w:p w14:paraId="62E8B02D" w14:textId="26349690" w:rsidR="00546859" w:rsidRDefault="0042692B" w:rsidP="00546859">
      <w:pPr>
        <w:pStyle w:val="Caption"/>
        <w:rPr>
          <w:rFonts w:cs="Arial"/>
        </w:rPr>
      </w:pPr>
      <w:r>
        <w:object w:dxaOrig="10560" w:dyaOrig="4068" w14:anchorId="007EBD39">
          <v:shape id="_x0000_i1027" type="#_x0000_t75" style="width:481.5pt;height:185.25pt" o:ole="">
            <v:imagedata r:id="rId12" o:title=""/>
          </v:shape>
          <o:OLEObject Type="Embed" ProgID="Visio.Drawing.15" ShapeID="_x0000_i1027" DrawAspect="Content" ObjectID="_1568258098" r:id="rId13"/>
        </w:object>
      </w:r>
      <w:r w:rsidR="00546859">
        <w:t xml:space="preserve">Figure </w:t>
      </w:r>
      <w:r w:rsidR="00546859">
        <w:fldChar w:fldCharType="begin"/>
      </w:r>
      <w:r w:rsidR="00546859">
        <w:instrText xml:space="preserve"> SEQ Figure \* ARABIC </w:instrText>
      </w:r>
      <w:r w:rsidR="00546859">
        <w:fldChar w:fldCharType="separate"/>
      </w:r>
      <w:r w:rsidR="00513864">
        <w:rPr>
          <w:noProof/>
        </w:rPr>
        <w:t>3</w:t>
      </w:r>
      <w:r w:rsidR="00546859">
        <w:rPr>
          <w:noProof/>
        </w:rPr>
        <w:fldChar w:fldCharType="end"/>
      </w:r>
      <w:r w:rsidR="00546859">
        <w:t xml:space="preserve"> </w:t>
      </w:r>
      <w:r w:rsidR="00546859">
        <w:rPr>
          <w:rFonts w:cs="Arial"/>
          <w:bCs w:val="0"/>
        </w:rPr>
        <w:t>Random access frequency hopping symbol group repeated once.</w:t>
      </w:r>
    </w:p>
    <w:p w14:paraId="3BE40FC1" w14:textId="77777777" w:rsidR="00225B76" w:rsidRDefault="00225B76" w:rsidP="00225B76">
      <w:pPr>
        <w:pStyle w:val="BodyText"/>
        <w:rPr>
          <w:rFonts w:eastAsia="MS Mincho"/>
          <w:lang w:eastAsia="ja-JP"/>
        </w:rPr>
      </w:pPr>
      <w:r>
        <w:rPr>
          <w:rFonts w:eastAsia="MS Mincho"/>
          <w:lang w:eastAsia="ja-JP"/>
        </w:rPr>
        <w:t xml:space="preserve">More specifically </w:t>
      </w:r>
      <w:r>
        <w:rPr>
          <w:rFonts w:eastAsia="MS Mincho"/>
          <w:i/>
          <w:lang w:eastAsia="ja-JP"/>
        </w:rPr>
        <w:t>f(t)</w:t>
      </w:r>
      <w:r>
        <w:rPr>
          <w:rFonts w:eastAsia="MS Mincho"/>
          <w:lang w:eastAsia="ja-JP"/>
        </w:rPr>
        <w:t xml:space="preserve"> is defined as (see 3GPP TS 36.211 clause 10.1.6.2):</w:t>
      </w:r>
    </w:p>
    <w:p w14:paraId="373D2206" w14:textId="77777777" w:rsidR="00225B76" w:rsidRDefault="00225B76" w:rsidP="00225B76">
      <w:pPr>
        <w:pStyle w:val="BodyText"/>
        <w:jc w:val="center"/>
        <w:rPr>
          <w:rFonts w:eastAsia="Times New Roman"/>
          <w:lang w:eastAsia="en-US"/>
        </w:rPr>
      </w:pPr>
      <w:r>
        <w:rPr>
          <w:rFonts w:ascii="Arial" w:eastAsia="Times New Roman" w:hAnsi="Arial"/>
          <w:spacing w:val="2"/>
          <w:position w:val="-50"/>
          <w:sz w:val="20"/>
          <w:lang w:val="en-US"/>
        </w:rPr>
        <w:object w:dxaOrig="6264" w:dyaOrig="1128" w14:anchorId="591DD79B">
          <v:shape id="_x0000_i1028" type="#_x0000_t75" style="width:313.5pt;height:55.5pt" o:ole="">
            <v:imagedata r:id="rId14" o:title=""/>
          </v:shape>
          <o:OLEObject Type="Embed" ProgID="Equation.3" ShapeID="_x0000_i1028" DrawAspect="Content" ObjectID="_1568258099" r:id="rId15"/>
        </w:object>
      </w:r>
      <w:r>
        <w:t xml:space="preserve"> (Eq. 1)</w:t>
      </w:r>
    </w:p>
    <w:p w14:paraId="303641FC" w14:textId="277FFEE2" w:rsidR="00FB2FD5" w:rsidRDefault="00225B76" w:rsidP="0042692B">
      <w:pPr>
        <w:pStyle w:val="BodyText"/>
      </w:pPr>
      <w:r>
        <w:rPr>
          <w:rFonts w:eastAsia="MS Mincho"/>
          <w:lang w:eastAsia="ja-JP"/>
        </w:rPr>
        <w:t xml:space="preserve">The Gold sequence </w:t>
      </w:r>
      <w:r>
        <w:rPr>
          <w:rFonts w:eastAsia="MS Mincho"/>
          <w:i/>
          <w:lang w:eastAsia="ja-JP"/>
        </w:rPr>
        <w:t>c(n)</w:t>
      </w:r>
      <w:r>
        <w:rPr>
          <w:rFonts w:eastAsia="MS Mincho"/>
          <w:lang w:eastAsia="ja-JP"/>
        </w:rPr>
        <w:t xml:space="preserve"> is determined by a pseudo random generator initialized by </w:t>
      </w:r>
      <w:r w:rsidR="005B4D4C">
        <w:rPr>
          <w:rFonts w:ascii="Arial" w:eastAsia="Times New Roman" w:hAnsi="Arial"/>
          <w:spacing w:val="2"/>
          <w:position w:val="-12"/>
          <w:sz w:val="20"/>
          <w:lang w:val="en-US"/>
        </w:rPr>
        <w:object w:dxaOrig="1180" w:dyaOrig="380" w14:anchorId="48A0EB69">
          <v:shape id="_x0000_i1029" type="#_x0000_t75" style="width:58.5pt;height:18.75pt" o:ole="">
            <v:imagedata r:id="rId16" o:title=""/>
          </v:shape>
          <o:OLEObject Type="Embed" ProgID="Equation.3" ShapeID="_x0000_i1029" DrawAspect="Content" ObjectID="_1568258100" r:id="rId17"/>
        </w:object>
      </w:r>
      <w:r w:rsidR="005B4D4C">
        <w:rPr>
          <w:rFonts w:eastAsia="MS Mincho"/>
          <w:lang w:eastAsia="ja-JP"/>
        </w:rPr>
        <w:t xml:space="preserve">, i.e. </w:t>
      </w:r>
      <w:r>
        <w:rPr>
          <w:rFonts w:eastAsia="MS Mincho"/>
          <w:lang w:eastAsia="ja-JP"/>
        </w:rPr>
        <w:t xml:space="preserve">the physical cell id (see 3GPP TS 36.211 clause </w:t>
      </w:r>
      <w:r w:rsidR="005B4D4C">
        <w:rPr>
          <w:rFonts w:eastAsia="MS Mincho"/>
          <w:lang w:eastAsia="ja-JP"/>
        </w:rPr>
        <w:t>10.1.6.1</w:t>
      </w:r>
      <w:r>
        <w:rPr>
          <w:rFonts w:eastAsia="MS Mincho"/>
          <w:lang w:eastAsia="ja-JP"/>
        </w:rPr>
        <w:t xml:space="preserve">). The hop is bounded so that the NPRACH transmission never spans more than </w:t>
      </w:r>
      <w:r>
        <w:rPr>
          <w:rFonts w:ascii="Arial" w:eastAsia="Times New Roman" w:hAnsi="Arial"/>
          <w:spacing w:val="2"/>
          <w:position w:val="-12"/>
          <w:sz w:val="20"/>
          <w:lang w:val="en-US"/>
        </w:rPr>
        <w:object w:dxaOrig="480" w:dyaOrig="372" w14:anchorId="68E5330B">
          <v:shape id="_x0000_i1030" type="#_x0000_t75" style="width:24pt;height:18.75pt" o:ole="">
            <v:imagedata r:id="rId18" o:title=""/>
          </v:shape>
          <o:OLEObject Type="Embed" ProgID="Equation.3" ShapeID="_x0000_i1030" DrawAspect="Content" ObjectID="_1568258101" r:id="rId19"/>
        </w:object>
      </w:r>
      <w:r>
        <w:t xml:space="preserve">= </w:t>
      </w:r>
      <w:r>
        <w:rPr>
          <w:rFonts w:eastAsia="MS Mincho"/>
          <w:lang w:eastAsia="ja-JP"/>
        </w:rPr>
        <w:t>12 subcarriers</w:t>
      </w:r>
      <w:r w:rsidR="0042692B">
        <w:rPr>
          <w:rFonts w:eastAsia="MS Mincho"/>
          <w:lang w:eastAsia="ja-JP"/>
        </w:rPr>
        <w:t xml:space="preserve">. For two repetitions as shown in Figure 3 a single hop is defined. For </w:t>
      </w:r>
      <w:r w:rsidR="0042692B" w:rsidRPr="0042692B">
        <w:rPr>
          <w:rFonts w:eastAsia="MS Mincho"/>
          <w:i/>
          <w:lang w:eastAsia="ja-JP"/>
        </w:rPr>
        <w:t>N</w:t>
      </w:r>
      <w:r w:rsidR="0042692B" w:rsidRPr="0042692B">
        <w:rPr>
          <w:rFonts w:eastAsia="MS Mincho"/>
          <w:i/>
          <w:vertAlign w:val="subscript"/>
          <w:lang w:eastAsia="ja-JP"/>
        </w:rPr>
        <w:t>REP</w:t>
      </w:r>
      <w:r w:rsidR="0042692B">
        <w:rPr>
          <w:rFonts w:eastAsia="MS Mincho"/>
          <w:lang w:eastAsia="ja-JP"/>
        </w:rPr>
        <w:t xml:space="preserve"> repetitions </w:t>
      </w:r>
      <w:r w:rsidR="0042692B" w:rsidRPr="0042692B">
        <w:rPr>
          <w:rFonts w:eastAsia="MS Mincho"/>
          <w:i/>
          <w:lang w:eastAsia="ja-JP"/>
        </w:rPr>
        <w:t>N</w:t>
      </w:r>
      <w:r w:rsidR="0042692B" w:rsidRPr="0042692B">
        <w:rPr>
          <w:rFonts w:eastAsia="MS Mincho"/>
          <w:i/>
          <w:vertAlign w:val="subscript"/>
          <w:lang w:eastAsia="ja-JP"/>
        </w:rPr>
        <w:t>REP</w:t>
      </w:r>
      <w:r w:rsidR="0042692B" w:rsidRPr="0042692B">
        <w:rPr>
          <w:rFonts w:eastAsia="MS Mincho"/>
          <w:i/>
          <w:lang w:eastAsia="ja-JP"/>
        </w:rPr>
        <w:t>-1</w:t>
      </w:r>
      <w:r w:rsidR="0042692B">
        <w:rPr>
          <w:rFonts w:eastAsia="MS Mincho"/>
          <w:lang w:eastAsia="ja-JP"/>
        </w:rPr>
        <w:t xml:space="preserve"> frequency hops are used.</w:t>
      </w:r>
    </w:p>
    <w:p w14:paraId="6257D369" w14:textId="7295D502" w:rsidR="00DB1DFD" w:rsidRPr="00DB1DFD" w:rsidRDefault="00BE0B2B" w:rsidP="00DB1DFD">
      <w:pPr>
        <w:pStyle w:val="BodyText"/>
        <w:rPr>
          <w:rFonts w:eastAsia="MS Mincho"/>
          <w:lang w:eastAsia="ja-JP"/>
        </w:rPr>
      </w:pPr>
      <w:r>
        <w:rPr>
          <w:rFonts w:eastAsia="MS Mincho"/>
          <w:lang w:eastAsia="ja-JP"/>
        </w:rPr>
        <w:lastRenderedPageBreak/>
        <w:t>As already mentioned, t</w:t>
      </w:r>
      <w:r w:rsidR="00DB1DFD" w:rsidRPr="00DB1DFD">
        <w:rPr>
          <w:rFonts w:eastAsia="MS Mincho"/>
          <w:lang w:eastAsia="ja-JP"/>
        </w:rPr>
        <w:t xml:space="preserve">he </w:t>
      </w:r>
      <w:r w:rsidR="00DB1DFD">
        <w:rPr>
          <w:rFonts w:eastAsia="MS Mincho"/>
          <w:lang w:eastAsia="ja-JP"/>
        </w:rPr>
        <w:t xml:space="preserve">supported coverage is increasing with the </w:t>
      </w:r>
      <w:r w:rsidR="00DB1DFD" w:rsidRPr="00DB1DFD">
        <w:rPr>
          <w:rFonts w:eastAsia="MS Mincho"/>
          <w:lang w:eastAsia="ja-JP"/>
        </w:rPr>
        <w:t xml:space="preserve">number of </w:t>
      </w:r>
      <w:r w:rsidR="00DB1DFD">
        <w:rPr>
          <w:rFonts w:eastAsia="MS Mincho"/>
          <w:lang w:eastAsia="ja-JP"/>
        </w:rPr>
        <w:t>NPRACH</w:t>
      </w:r>
      <w:r w:rsidR="00DB1DFD" w:rsidRPr="00DB1DFD">
        <w:rPr>
          <w:rFonts w:eastAsia="MS Mincho"/>
          <w:lang w:eastAsia="ja-JP"/>
        </w:rPr>
        <w:t xml:space="preserve"> repetitions. </w:t>
      </w:r>
      <w:r w:rsidR="00DB1DFD">
        <w:rPr>
          <w:rFonts w:eastAsia="MS Mincho"/>
          <w:lang w:eastAsia="ja-JP"/>
        </w:rPr>
        <w:t xml:space="preserve">Figure 4 shows an expected NPRACH configuration for a highly loaded </w:t>
      </w:r>
      <w:r w:rsidR="004E02EA">
        <w:rPr>
          <w:rFonts w:eastAsia="MS Mincho"/>
          <w:lang w:eastAsia="ja-JP"/>
        </w:rPr>
        <w:t>network supporting up to 164 dB</w:t>
      </w:r>
      <w:r w:rsidR="00DB1DFD">
        <w:rPr>
          <w:rFonts w:eastAsia="MS Mincho"/>
          <w:lang w:eastAsia="ja-JP"/>
        </w:rPr>
        <w:t xml:space="preserve"> </w:t>
      </w:r>
      <w:r w:rsidR="00B50F55">
        <w:rPr>
          <w:rFonts w:eastAsia="MS Mincho"/>
          <w:lang w:eastAsia="ja-JP"/>
        </w:rPr>
        <w:t>coupling loss. CE level 0 configured with t</w:t>
      </w:r>
      <w:r w:rsidR="00DB1DFD">
        <w:rPr>
          <w:rFonts w:eastAsia="MS Mincho"/>
          <w:lang w:eastAsia="ja-JP"/>
        </w:rPr>
        <w:t>wo NPRACH repetitions support a coupling loss of 144 dB and is the NPRACH resource expected to handle highest load.</w:t>
      </w:r>
    </w:p>
    <w:p w14:paraId="5E56613F" w14:textId="1490E3F6" w:rsidR="00DB1DFD" w:rsidRDefault="00530B2D" w:rsidP="00242CAE">
      <w:pPr>
        <w:pStyle w:val="BodyText"/>
        <w:keepNext/>
        <w:jc w:val="center"/>
      </w:pPr>
      <w:r>
        <w:object w:dxaOrig="11148" w:dyaOrig="4393" w14:anchorId="1FA673A5">
          <v:shape id="_x0000_i1031" type="#_x0000_t75" style="width:468pt;height:184.5pt" o:ole="">
            <v:imagedata r:id="rId20" o:title=""/>
          </v:shape>
          <o:OLEObject Type="Embed" ProgID="Visio.Drawing.15" ShapeID="_x0000_i1031" DrawAspect="Content" ObjectID="_1568258102" r:id="rId21"/>
        </w:object>
      </w:r>
    </w:p>
    <w:p w14:paraId="691215AB" w14:textId="40EE55F2" w:rsidR="00546859" w:rsidRDefault="00DB1DFD" w:rsidP="00DB1DFD">
      <w:pPr>
        <w:pStyle w:val="Caption"/>
      </w:pPr>
      <w:r>
        <w:t xml:space="preserve">Figure </w:t>
      </w:r>
      <w:r>
        <w:fldChar w:fldCharType="begin"/>
      </w:r>
      <w:r>
        <w:instrText xml:space="preserve"> SEQ Figure \* ARABIC </w:instrText>
      </w:r>
      <w:r>
        <w:fldChar w:fldCharType="separate"/>
      </w:r>
      <w:r w:rsidR="00513864">
        <w:rPr>
          <w:noProof/>
        </w:rPr>
        <w:t>4</w:t>
      </w:r>
      <w:r>
        <w:rPr>
          <w:noProof/>
        </w:rPr>
        <w:fldChar w:fldCharType="end"/>
      </w:r>
      <w:r>
        <w:t xml:space="preserve"> Illustration of a typical NPRACH configuration in a highly loaded network with three resources for Coverage Enhancements level 0 (CE0), 1 (CE1) and 2 (CE2).</w:t>
      </w:r>
    </w:p>
    <w:p w14:paraId="6306208B" w14:textId="60E2E4C7" w:rsidR="00FD5ADD" w:rsidRDefault="00FD5ADD" w:rsidP="00233DAA">
      <w:pPr>
        <w:pStyle w:val="Heading2"/>
      </w:pPr>
      <w:r>
        <w:t>Likelihood of false alarm</w:t>
      </w:r>
    </w:p>
    <w:p w14:paraId="4D82288F" w14:textId="0315CDB6" w:rsidR="00242CAE" w:rsidRDefault="00233DAA" w:rsidP="00233DAA">
      <w:r>
        <w:t>The frequency hopping sequence is constant across reoccurring instances of a certain CE level. Looking at Figure 4, in each of the depicted CE level 0 resources UEs will use the exact same frequency hop</w:t>
      </w:r>
      <w:r w:rsidR="004E02EA">
        <w:t xml:space="preserve"> between the two NPRACH repetitions</w:t>
      </w:r>
      <w:r>
        <w:t xml:space="preserve">. In case two cells A and B are time-aligned and are exposing each other to high interference levels then UEs in cell A may trigger false alarms in the base station in cell B. In the same manner UEs in cell B may expose base station A to increased likelihood of false alarms. </w:t>
      </w:r>
    </w:p>
    <w:p w14:paraId="4E84548C" w14:textId="18BCFB82" w:rsidR="00233DAA" w:rsidRDefault="00242CAE" w:rsidP="00233DAA">
      <w:r>
        <w:t>Furthermore, i</w:t>
      </w:r>
      <w:r w:rsidR="00233DAA">
        <w:t>f cells A and B end up with the same frequency hop in CE level 0, i.e:</w:t>
      </w:r>
    </w:p>
    <w:p w14:paraId="45AC6570" w14:textId="77777777" w:rsidR="00233DAA" w:rsidRDefault="00233DAA" w:rsidP="00233DAA">
      <w:pPr>
        <w:jc w:val="center"/>
      </w:pPr>
      <w:r w:rsidRPr="008F5CAB">
        <w:rPr>
          <w:rFonts w:ascii="Arial" w:eastAsia="Times New Roman" w:hAnsi="Arial"/>
          <w:spacing w:val="2"/>
          <w:position w:val="-10"/>
          <w:sz w:val="20"/>
          <w:lang w:val="en-US"/>
        </w:rPr>
        <w:object w:dxaOrig="6039" w:dyaOrig="360" w14:anchorId="411144AC">
          <v:shape id="_x0000_i1032" type="#_x0000_t75" style="width:302.25pt;height:18pt" o:ole="">
            <v:imagedata r:id="rId22" o:title=""/>
          </v:shape>
          <o:OLEObject Type="Embed" ProgID="Equation.3" ShapeID="_x0000_i1032" DrawAspect="Content" ObjectID="_1568258103" r:id="rId23"/>
        </w:object>
      </w:r>
      <w:r>
        <w:rPr>
          <w:rFonts w:ascii="Arial" w:eastAsia="Times New Roman" w:hAnsi="Arial"/>
          <w:spacing w:val="2"/>
          <w:sz w:val="20"/>
          <w:lang w:val="en-US"/>
        </w:rPr>
        <w:tab/>
      </w:r>
      <w:r>
        <w:t>(Eq. 2)</w:t>
      </w:r>
    </w:p>
    <w:p w14:paraId="09028768" w14:textId="7A5F415B" w:rsidR="00233DAA" w:rsidRPr="00233DAA" w:rsidRDefault="00233DAA" w:rsidP="00242CAE">
      <w:pPr>
        <w:jc w:val="left"/>
      </w:pPr>
      <w:r>
        <w:t>then the likelihood</w:t>
      </w:r>
      <w:r w:rsidR="00242CAE">
        <w:t xml:space="preserve"> of false alarm</w:t>
      </w:r>
      <w:r>
        <w:t xml:space="preserve"> increases. The probability of any two cells using the same frequency hop for the important case of two NPRACH repetitions equals ~1/12, as shown in </w:t>
      </w:r>
      <w:r>
        <w:fldChar w:fldCharType="begin"/>
      </w:r>
      <w:r>
        <w:instrText xml:space="preserve"> REF _Ref482283543 \r \h </w:instrText>
      </w:r>
      <w:r>
        <w:fldChar w:fldCharType="separate"/>
      </w:r>
      <w:r>
        <w:t>[2]</w:t>
      </w:r>
      <w:r>
        <w:fldChar w:fldCharType="end"/>
      </w:r>
      <w:r>
        <w:t>.</w:t>
      </w:r>
      <w:r w:rsidR="009450A8">
        <w:t xml:space="preserve"> </w:t>
      </w:r>
    </w:p>
    <w:p w14:paraId="2E4FE92A" w14:textId="0F89D543" w:rsidR="00524BF8" w:rsidRDefault="00524BF8" w:rsidP="00524BF8">
      <w:pPr>
        <w:pStyle w:val="Heading1"/>
      </w:pPr>
      <w:r>
        <w:t>Proposed NB-IoT Release 14 NPRACH design</w:t>
      </w:r>
    </w:p>
    <w:p w14:paraId="04D44C1A" w14:textId="45874A6F" w:rsidR="009450A8" w:rsidRDefault="009450A8" w:rsidP="009450A8">
      <w:pPr>
        <w:pStyle w:val="BodyText"/>
        <w:rPr>
          <w:sz w:val="20"/>
          <w:lang w:val="en-US" w:eastAsia="en-US"/>
        </w:rPr>
      </w:pPr>
      <w:r>
        <w:t xml:space="preserve">To improve the performance in the specific case described in section 2.2 and mitigate the risk of false alarm for Release 14 random access on non-anchor carriers it is proposed to reinitialize the </w:t>
      </w:r>
      <w:r>
        <w:rPr>
          <w:rFonts w:eastAsia="MS Mincho"/>
          <w:lang w:eastAsia="ja-JP"/>
        </w:rPr>
        <w:t xml:space="preserve">pseudo random generator for every reoccurring NPRACH resource, based on a </w:t>
      </w:r>
      <w:r>
        <w:t>c</w:t>
      </w:r>
      <w:r>
        <w:rPr>
          <w:vertAlign w:val="subscript"/>
        </w:rPr>
        <w:t>init</w:t>
      </w:r>
      <w:r>
        <w:t xml:space="preserve"> </w:t>
      </w:r>
      <w:r w:rsidR="0092381F">
        <w:t xml:space="preserve">that </w:t>
      </w:r>
      <w:r>
        <w:t>is made dependent on</w:t>
      </w:r>
      <w:r w:rsidRPr="009450A8">
        <w:t xml:space="preserve"> </w:t>
      </w:r>
      <w:r>
        <w:t>a non-linear combination of</w:t>
      </w:r>
      <w:r>
        <w:rPr>
          <w:rFonts w:eastAsia="MS Mincho"/>
          <w:lang w:eastAsia="ja-JP"/>
        </w:rPr>
        <w:t xml:space="preserve"> the cell id </w:t>
      </w:r>
      <w:r w:rsidRPr="009450A8">
        <w:rPr>
          <w:rFonts w:ascii="Arial" w:eastAsia="Times New Roman" w:hAnsi="Arial"/>
          <w:spacing w:val="2"/>
          <w:position w:val="-10"/>
          <w:sz w:val="20"/>
          <w:lang w:val="en-US"/>
        </w:rPr>
        <w:object w:dxaOrig="600" w:dyaOrig="360" w14:anchorId="6B8B75EE">
          <v:shape id="_x0000_i1033" type="#_x0000_t75" style="width:30pt;height:18pt" o:ole="">
            <v:imagedata r:id="rId24" o:title=""/>
          </v:shape>
          <o:OLEObject Type="Embed" ProgID="Equation.3" ShapeID="_x0000_i1033" DrawAspect="Content" ObjectID="_1568258104" r:id="rId25"/>
        </w:object>
      </w:r>
      <w:r>
        <w:t xml:space="preserve"> and the radio frame number </w:t>
      </w:r>
      <w:r>
        <w:rPr>
          <w:i/>
        </w:rPr>
        <w:t>n</w:t>
      </w:r>
      <w:r>
        <w:rPr>
          <w:i/>
          <w:vertAlign w:val="subscript"/>
        </w:rPr>
        <w:t>f</w:t>
      </w:r>
      <w:r>
        <w:t xml:space="preserve"> fulfilling:</w:t>
      </w:r>
    </w:p>
    <w:p w14:paraId="1235ACD7" w14:textId="41F0C625" w:rsidR="009450A8" w:rsidRDefault="00A9720B" w:rsidP="009450A8">
      <w:pPr>
        <w:jc w:val="center"/>
        <w:rPr>
          <w:rFonts w:eastAsia="MS Mincho"/>
          <w:lang w:eastAsia="ja-JP"/>
        </w:rPr>
      </w:pPr>
      <w:r w:rsidRPr="00A9720B">
        <w:rPr>
          <w:position w:val="-14"/>
        </w:rPr>
        <w:object w:dxaOrig="4180" w:dyaOrig="400" w14:anchorId="7F718B0F">
          <v:shape id="_x0000_i1034" type="#_x0000_t75" style="width:207pt;height:19.5pt" o:ole="">
            <v:imagedata r:id="rId26" o:title=""/>
          </v:shape>
          <o:OLEObject Type="Embed" ProgID="Equation.3" ShapeID="_x0000_i1034" DrawAspect="Content" ObjectID="_1568258105" r:id="rId27"/>
        </w:object>
      </w:r>
      <w:r w:rsidR="009450A8">
        <w:rPr>
          <w:rFonts w:ascii="Arial" w:eastAsia="Times New Roman" w:hAnsi="Arial"/>
          <w:spacing w:val="2"/>
          <w:sz w:val="20"/>
          <w:lang w:val="en-US"/>
        </w:rPr>
        <w:tab/>
      </w:r>
      <w:r w:rsidR="009450A8">
        <w:rPr>
          <w:rFonts w:ascii="Arial" w:eastAsia="Times New Roman" w:hAnsi="Arial"/>
          <w:spacing w:val="2"/>
          <w:sz w:val="20"/>
          <w:lang w:val="en-US"/>
        </w:rPr>
        <w:tab/>
      </w:r>
      <w:r w:rsidR="009450A8">
        <w:t>(Eq. 3)</w:t>
      </w:r>
    </w:p>
    <w:p w14:paraId="35C73213" w14:textId="5468869C" w:rsidR="009450A8" w:rsidRDefault="009450A8" w:rsidP="009450A8">
      <w:pPr>
        <w:rPr>
          <w:rFonts w:eastAsia="MS Mincho"/>
          <w:lang w:eastAsia="ja-JP"/>
        </w:rPr>
      </w:pPr>
      <w:r w:rsidRPr="009450A8">
        <w:rPr>
          <w:rFonts w:eastAsia="MS Mincho"/>
          <w:lang w:eastAsia="ja-JP"/>
        </w:rPr>
        <w:t>Where</w:t>
      </w:r>
      <w:r>
        <w:rPr>
          <w:rFonts w:ascii="Arial" w:eastAsia="Times New Roman" w:hAnsi="Arial"/>
          <w:lang w:val="en-US" w:eastAsia="en-US"/>
        </w:rPr>
        <w:t xml:space="preserve"> </w:t>
      </w:r>
      <w:r>
        <w:rPr>
          <w:rFonts w:ascii="Arial" w:eastAsia="Times New Roman" w:hAnsi="Arial"/>
          <w:position w:val="-14"/>
          <w:lang w:val="en-US" w:eastAsia="en-US"/>
        </w:rPr>
        <w:object w:dxaOrig="880" w:dyaOrig="400" w14:anchorId="254E75CE">
          <v:shape id="_x0000_i1035" type="#_x0000_t75" style="width:43.5pt;height:19.5pt" o:ole="">
            <v:imagedata r:id="rId28" o:title=""/>
          </v:shape>
          <o:OLEObject Type="Embed" ProgID="Equation.3" ShapeID="_x0000_i1035" DrawAspect="Content" ObjectID="_1568258106" r:id="rId29"/>
        </w:object>
      </w:r>
      <w:r>
        <w:rPr>
          <w:rFonts w:eastAsia="MS Mincho"/>
          <w:lang w:eastAsia="ja-JP"/>
        </w:rPr>
        <w:t>identifies the NPRACH period</w:t>
      </w:r>
      <w:r w:rsidR="00A9720B">
        <w:rPr>
          <w:rFonts w:eastAsia="MS Mincho"/>
          <w:lang w:eastAsia="ja-JP"/>
        </w:rPr>
        <w:t xml:space="preserve"> and </w:t>
      </w:r>
      <w:r w:rsidR="00A9720B" w:rsidRPr="00A9720B">
        <w:rPr>
          <w:position w:val="-12"/>
        </w:rPr>
        <w:object w:dxaOrig="880" w:dyaOrig="380" w14:anchorId="607BD1FD">
          <v:shape id="_x0000_i1036" type="#_x0000_t75" style="width:43.5pt;height:18.75pt" o:ole="">
            <v:imagedata r:id="rId30" o:title=""/>
          </v:shape>
          <o:OLEObject Type="Embed" ProgID="Equation.3" ShapeID="_x0000_i1036" DrawAspect="Content" ObjectID="_1568258107" r:id="rId31"/>
        </w:object>
      </w:r>
      <w:r w:rsidR="00A9720B">
        <w:t xml:space="preserve"> the start time</w:t>
      </w:r>
      <w:r>
        <w:rPr>
          <w:rFonts w:eastAsia="MS Mincho"/>
          <w:lang w:eastAsia="ja-JP"/>
        </w:rPr>
        <w:t xml:space="preserve">. This approach generates a new frequency hopping sequence for each </w:t>
      </w:r>
      <w:r w:rsidR="00DB3A40">
        <w:rPr>
          <w:rFonts w:eastAsia="MS Mincho"/>
          <w:lang w:eastAsia="ja-JP"/>
        </w:rPr>
        <w:t>reoccurring NPRACH resource.</w:t>
      </w:r>
    </w:p>
    <w:p w14:paraId="5322E7E9" w14:textId="140E22B0" w:rsidR="00DB3A40" w:rsidRDefault="00DB3A40" w:rsidP="009450A8">
      <w:pPr>
        <w:rPr>
          <w:rFonts w:eastAsia="MS Mincho"/>
          <w:b/>
          <w:lang w:eastAsia="ja-JP"/>
        </w:rPr>
      </w:pPr>
      <w:r w:rsidRPr="00DB3A40">
        <w:rPr>
          <w:rFonts w:eastAsia="MS Mincho"/>
          <w:b/>
          <w:lang w:eastAsia="ja-JP"/>
        </w:rPr>
        <w:t xml:space="preserve">Proposal 1: </w:t>
      </w:r>
      <w:r w:rsidR="00994A20">
        <w:rPr>
          <w:rFonts w:eastAsia="MS Mincho"/>
          <w:b/>
          <w:lang w:eastAsia="ja-JP"/>
        </w:rPr>
        <w:t>For random access on non-anchor carriers r</w:t>
      </w:r>
      <w:r>
        <w:rPr>
          <w:rFonts w:eastAsia="MS Mincho"/>
          <w:b/>
          <w:lang w:eastAsia="ja-JP"/>
        </w:rPr>
        <w:t xml:space="preserve">einitialize </w:t>
      </w:r>
      <w:r w:rsidR="007405C0">
        <w:rPr>
          <w:rFonts w:eastAsia="MS Mincho"/>
          <w:b/>
          <w:lang w:eastAsia="ja-JP"/>
        </w:rPr>
        <w:t xml:space="preserve">and run </w:t>
      </w:r>
      <w:r>
        <w:rPr>
          <w:rFonts w:eastAsia="MS Mincho"/>
          <w:b/>
          <w:lang w:eastAsia="ja-JP"/>
        </w:rPr>
        <w:t xml:space="preserve">the </w:t>
      </w:r>
      <w:r w:rsidR="007405C0">
        <w:rPr>
          <w:rFonts w:eastAsia="MS Mincho"/>
          <w:b/>
          <w:lang w:eastAsia="ja-JP"/>
        </w:rPr>
        <w:t>pseudo random frequency generator, based on a non-linear combination of the cell id, the</w:t>
      </w:r>
      <w:r w:rsidR="00A9720B">
        <w:rPr>
          <w:rFonts w:eastAsia="MS Mincho"/>
          <w:b/>
          <w:lang w:eastAsia="ja-JP"/>
        </w:rPr>
        <w:t xml:space="preserve"> starting </w:t>
      </w:r>
      <w:r w:rsidR="007405C0">
        <w:rPr>
          <w:rFonts w:eastAsia="MS Mincho"/>
          <w:b/>
          <w:lang w:eastAsia="ja-JP"/>
        </w:rPr>
        <w:t>frame and hyper frame numbers, before the start of each NPRACH resource.</w:t>
      </w:r>
    </w:p>
    <w:p w14:paraId="27954C66" w14:textId="56E6CEDA" w:rsidR="007405C0" w:rsidRDefault="007405C0" w:rsidP="009450A8">
      <w:pPr>
        <w:rPr>
          <w:rFonts w:eastAsia="MS Mincho"/>
          <w:lang w:eastAsia="ja-JP"/>
        </w:rPr>
      </w:pPr>
      <w:r>
        <w:rPr>
          <w:rFonts w:eastAsia="MS Mincho"/>
          <w:lang w:eastAsia="ja-JP"/>
        </w:rPr>
        <w:t xml:space="preserve">A first concrete proposal on how to define the seed </w:t>
      </w:r>
      <w:r w:rsidRPr="007405C0">
        <w:rPr>
          <w:rFonts w:eastAsia="MS Mincho"/>
          <w:i/>
          <w:lang w:eastAsia="ja-JP"/>
        </w:rPr>
        <w:t>c</w:t>
      </w:r>
      <w:r w:rsidRPr="007405C0">
        <w:rPr>
          <w:rFonts w:eastAsia="MS Mincho"/>
          <w:i/>
          <w:vertAlign w:val="subscript"/>
          <w:lang w:eastAsia="ja-JP"/>
        </w:rPr>
        <w:t>init</w:t>
      </w:r>
      <w:r>
        <w:rPr>
          <w:rFonts w:eastAsia="MS Mincho"/>
          <w:lang w:eastAsia="ja-JP"/>
        </w:rPr>
        <w:t xml:space="preserve"> is: </w:t>
      </w:r>
    </w:p>
    <w:p w14:paraId="087EFB73" w14:textId="0BE8131D" w:rsidR="007405C0" w:rsidRDefault="007405C0" w:rsidP="007405C0">
      <w:pPr>
        <w:pStyle w:val="BodyText"/>
        <w:jc w:val="center"/>
        <w:rPr>
          <w:rFonts w:eastAsia="Times New Roman"/>
          <w:spacing w:val="2"/>
          <w:szCs w:val="22"/>
          <w:lang w:val="en-US"/>
        </w:rPr>
      </w:pPr>
      <w:r w:rsidRPr="007405C0">
        <w:rPr>
          <w:rFonts w:ascii="Arial" w:eastAsia="Times New Roman" w:hAnsi="Arial"/>
          <w:spacing w:val="2"/>
          <w:position w:val="-14"/>
          <w:sz w:val="20"/>
          <w:lang w:val="en-US"/>
        </w:rPr>
        <w:object w:dxaOrig="5880" w:dyaOrig="396" w14:anchorId="35293264">
          <v:shape id="_x0000_i1037" type="#_x0000_t75" style="width:294pt;height:19.5pt" o:ole="">
            <v:imagedata r:id="rId32" o:title=""/>
          </v:shape>
          <o:OLEObject Type="Embed" ProgID="Equation.3" ShapeID="_x0000_i1037" DrawAspect="Content" ObjectID="_1568258108" r:id="rId33"/>
        </w:object>
      </w:r>
      <w:r w:rsidRPr="007405C0">
        <w:rPr>
          <w:rFonts w:eastAsia="Times New Roman"/>
          <w:spacing w:val="2"/>
          <w:szCs w:val="22"/>
          <w:lang w:val="en-US"/>
        </w:rPr>
        <w:tab/>
        <w:t>(Eq. 4)</w:t>
      </w:r>
    </w:p>
    <w:p w14:paraId="7B07BF94" w14:textId="1FE8D15C" w:rsidR="00F518A7" w:rsidRPr="00F518A7" w:rsidRDefault="00F518A7" w:rsidP="001D5642">
      <w:pPr>
        <w:pStyle w:val="BodyText"/>
        <w:jc w:val="left"/>
      </w:pPr>
      <w:r>
        <w:rPr>
          <w:rFonts w:eastAsia="Times New Roman"/>
          <w:spacing w:val="2"/>
          <w:szCs w:val="22"/>
          <w:lang w:val="en-US"/>
        </w:rPr>
        <w:lastRenderedPageBreak/>
        <w:t>Figure 5 presents the correlation between any two frequency hopping sequences generated for 50 cells across up to 1</w:t>
      </w:r>
      <w:r w:rsidR="00A9720B">
        <w:rPr>
          <w:rFonts w:eastAsia="Times New Roman"/>
          <w:spacing w:val="2"/>
          <w:szCs w:val="22"/>
          <w:lang w:val="en-US"/>
        </w:rPr>
        <w:t>6</w:t>
      </w:r>
      <w:r>
        <w:rPr>
          <w:rFonts w:eastAsia="Times New Roman"/>
          <w:spacing w:val="2"/>
          <w:szCs w:val="22"/>
          <w:lang w:val="en-US"/>
        </w:rPr>
        <w:t xml:space="preserve"> hyper-frames (</w:t>
      </w:r>
      <w:r>
        <w:t>~1</w:t>
      </w:r>
      <w:r w:rsidR="00A9720B">
        <w:t xml:space="preserve">65 s) for </w:t>
      </w:r>
      <w:r>
        <w:t xml:space="preserve">NPRACH repetitions and NPRACH periodicities of 40, 80 and 320 ms. </w:t>
      </w:r>
    </w:p>
    <w:p w14:paraId="5586835D" w14:textId="75829FE3" w:rsidR="00513864" w:rsidRDefault="002C478B" w:rsidP="00513864">
      <w:pPr>
        <w:keepNext/>
        <w:jc w:val="center"/>
      </w:pPr>
      <w:r>
        <w:rPr>
          <w:noProof/>
          <w:lang w:val="en-US"/>
        </w:rPr>
        <w:drawing>
          <wp:inline distT="0" distB="0" distL="0" distR="0" wp14:anchorId="2F3CCE69" wp14:editId="500125B7">
            <wp:extent cx="5040975" cy="360243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1#89_non_anchor_FH.png"/>
                    <pic:cNvPicPr/>
                  </pic:nvPicPr>
                  <pic:blipFill>
                    <a:blip r:embed="rId34">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49B1B6C4" w14:textId="4E407F9B" w:rsidR="007405C0" w:rsidRDefault="00513864" w:rsidP="00513864">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A9720B">
        <w:t>Correlation</w:t>
      </w:r>
      <w:r w:rsidR="00F518A7">
        <w:t xml:space="preserve"> between NPRACH frequency hopping sequences across 50 cells.</w:t>
      </w:r>
    </w:p>
    <w:p w14:paraId="1B95D53D" w14:textId="10E87934" w:rsidR="001D5642" w:rsidRDefault="001D5642" w:rsidP="001D5642">
      <w:pPr>
        <w:pStyle w:val="BodyText"/>
        <w:jc w:val="left"/>
      </w:pPr>
      <w:r>
        <w:t>The figure shows that on average the correlation is  ~</w:t>
      </w:r>
      <w:r w:rsidR="00A9720B">
        <w:t>1/12</w:t>
      </w:r>
      <w:r>
        <w:t xml:space="preserve">, which implies that the likelihood of any two cells using the same frequency hop between two NPRACH repetitions is </w:t>
      </w:r>
      <w:r w:rsidR="00E35BAC">
        <w:t>~8</w:t>
      </w:r>
      <w:r>
        <w:t xml:space="preserve">%. The maximum likelihood of this event is 20%. </w:t>
      </w:r>
    </w:p>
    <w:p w14:paraId="52302204" w14:textId="3390DDDD" w:rsidR="001D5642" w:rsidRPr="00994A20" w:rsidRDefault="00A9720B" w:rsidP="00994A20">
      <w:pPr>
        <w:pStyle w:val="BodyText"/>
        <w:jc w:val="left"/>
      </w:pPr>
      <w:r>
        <w:t>Also i</w:t>
      </w:r>
      <w:r w:rsidR="001D5642">
        <w:t>n the current</w:t>
      </w:r>
      <w:r w:rsidR="002F4C01">
        <w:t xml:space="preserve"> Release 13</w:t>
      </w:r>
      <w:r w:rsidR="001D5642">
        <w:t xml:space="preserve"> NPRACH design, th</w:t>
      </w:r>
      <w:r>
        <w:t>e average</w:t>
      </w:r>
      <w:r w:rsidR="001D5642">
        <w:t xml:space="preserve"> likelihood</w:t>
      </w:r>
      <w:r>
        <w:t xml:space="preserve"> </w:t>
      </w:r>
      <w:r w:rsidR="002F4C01">
        <w:t xml:space="preserve">of two cells using the same hopping pattern </w:t>
      </w:r>
      <w:r w:rsidR="001D5642">
        <w:t xml:space="preserve">is </w:t>
      </w:r>
      <w:r>
        <w:t>~1/12</w:t>
      </w:r>
      <w:r w:rsidR="002F4C01">
        <w:t>. But the difference is that if, with the current Release 13 design, two cells use the same frequency hopping pattern they will always do so for all reoccurring NPRACH resources</w:t>
      </w:r>
      <w:r w:rsidR="001D5642">
        <w:t>.</w:t>
      </w:r>
      <w:r w:rsidR="00994A20">
        <w:t xml:space="preserve"> This</w:t>
      </w:r>
      <w:r w:rsidR="002F4C01">
        <w:t xml:space="preserve"> is not the case for the herein made proposal, which introduces a randomization over time which is expected to make the NPRACH performance more robust</w:t>
      </w:r>
      <w:r w:rsidR="00E35BAC">
        <w:t xml:space="preserve"> against false alarms due to inter-cell interference.</w:t>
      </w:r>
    </w:p>
    <w:p w14:paraId="3ACDCD01" w14:textId="52774742" w:rsidR="001D5642" w:rsidRDefault="001D5642" w:rsidP="001D5642">
      <w:pPr>
        <w:rPr>
          <w:rFonts w:eastAsia="MS Mincho"/>
          <w:b/>
          <w:lang w:eastAsia="ja-JP"/>
        </w:rPr>
      </w:pPr>
      <w:r w:rsidRPr="00DB3A40">
        <w:rPr>
          <w:rFonts w:eastAsia="MS Mincho"/>
          <w:b/>
          <w:lang w:eastAsia="ja-JP"/>
        </w:rPr>
        <w:t xml:space="preserve">Proposal </w:t>
      </w:r>
      <w:r>
        <w:rPr>
          <w:rFonts w:eastAsia="MS Mincho"/>
          <w:b/>
          <w:lang w:eastAsia="ja-JP"/>
        </w:rPr>
        <w:t>2</w:t>
      </w:r>
      <w:r w:rsidRPr="00DB3A40">
        <w:rPr>
          <w:rFonts w:eastAsia="MS Mincho"/>
          <w:b/>
          <w:lang w:eastAsia="ja-JP"/>
        </w:rPr>
        <w:t xml:space="preserve">: </w:t>
      </w:r>
      <w:r w:rsidR="00994A20">
        <w:rPr>
          <w:rFonts w:eastAsia="MS Mincho"/>
          <w:b/>
          <w:lang w:eastAsia="ja-JP"/>
        </w:rPr>
        <w:t>For random access on non-anchor carriers s</w:t>
      </w:r>
      <w:r>
        <w:rPr>
          <w:rFonts w:eastAsia="MS Mincho"/>
          <w:b/>
          <w:lang w:eastAsia="ja-JP"/>
        </w:rPr>
        <w:t xml:space="preserve">pecify </w:t>
      </w:r>
      <w:r w:rsidRPr="00994A20">
        <w:rPr>
          <w:rFonts w:eastAsia="MS Mincho"/>
          <w:b/>
          <w:i/>
          <w:lang w:eastAsia="ja-JP"/>
        </w:rPr>
        <w:t>c</w:t>
      </w:r>
      <w:r w:rsidRPr="00994A20">
        <w:rPr>
          <w:rFonts w:eastAsia="MS Mincho"/>
          <w:b/>
          <w:i/>
          <w:vertAlign w:val="subscript"/>
          <w:lang w:eastAsia="ja-JP"/>
        </w:rPr>
        <w:t>init</w:t>
      </w:r>
      <w:r>
        <w:rPr>
          <w:rFonts w:eastAsia="MS Mincho"/>
          <w:b/>
          <w:lang w:eastAsia="ja-JP"/>
        </w:rPr>
        <w:t xml:space="preserve"> in accordance with Equation</w:t>
      </w:r>
      <w:r w:rsidR="00C8351E">
        <w:rPr>
          <w:rFonts w:eastAsia="MS Mincho"/>
          <w:b/>
          <w:lang w:eastAsia="ja-JP"/>
        </w:rPr>
        <w:t>s 3 and</w:t>
      </w:r>
      <w:r>
        <w:rPr>
          <w:rFonts w:eastAsia="MS Mincho"/>
          <w:b/>
          <w:lang w:eastAsia="ja-JP"/>
        </w:rPr>
        <w:t xml:space="preserve"> 4</w:t>
      </w:r>
      <w:r w:rsidR="00994A20">
        <w:rPr>
          <w:rFonts w:eastAsia="MS Mincho"/>
          <w:b/>
          <w:lang w:eastAsia="ja-JP"/>
        </w:rPr>
        <w:t>.</w:t>
      </w:r>
    </w:p>
    <w:p w14:paraId="7AF95F47" w14:textId="77777777" w:rsidR="001B4C46" w:rsidRPr="00282882" w:rsidRDefault="001B4C46" w:rsidP="00CB6A16">
      <w:pPr>
        <w:pStyle w:val="Heading1"/>
      </w:pPr>
      <w:r w:rsidRPr="00282882">
        <w:t>Conclusions</w:t>
      </w:r>
    </w:p>
    <w:p w14:paraId="30B8930A" w14:textId="50F9AF5E" w:rsidR="00185110" w:rsidRDefault="00550248" w:rsidP="00A50965">
      <w:pPr>
        <w:spacing w:after="200" w:line="276" w:lineRule="auto"/>
        <w:contextualSpacing/>
        <w:rPr>
          <w:sz w:val="20"/>
          <w:szCs w:val="22"/>
        </w:rPr>
      </w:pPr>
      <w:r w:rsidRPr="00247A15">
        <w:rPr>
          <w:sz w:val="20"/>
          <w:szCs w:val="22"/>
        </w:rPr>
        <w:t xml:space="preserve">In this paper we </w:t>
      </w:r>
      <w:r w:rsidR="00E12417" w:rsidRPr="00247A15">
        <w:rPr>
          <w:sz w:val="20"/>
          <w:szCs w:val="22"/>
        </w:rPr>
        <w:t xml:space="preserve">have presented </w:t>
      </w:r>
      <w:r w:rsidR="00994A20">
        <w:rPr>
          <w:sz w:val="20"/>
          <w:szCs w:val="22"/>
        </w:rPr>
        <w:t>a simple but yet powerful method for reducing the risk of NPRACH false alarm on Rel-14 non-anchor carriers. Two proposals are made:</w:t>
      </w:r>
    </w:p>
    <w:p w14:paraId="6EBB9531" w14:textId="77777777" w:rsidR="00994A20" w:rsidRDefault="00994A20" w:rsidP="00994A20">
      <w:pPr>
        <w:rPr>
          <w:rFonts w:eastAsia="MS Mincho"/>
          <w:b/>
          <w:lang w:eastAsia="ja-JP"/>
        </w:rPr>
      </w:pPr>
      <w:r w:rsidRPr="00DB3A40">
        <w:rPr>
          <w:rFonts w:eastAsia="MS Mincho"/>
          <w:b/>
          <w:lang w:eastAsia="ja-JP"/>
        </w:rPr>
        <w:t xml:space="preserve">Proposal 1: </w:t>
      </w:r>
      <w:r>
        <w:rPr>
          <w:rFonts w:eastAsia="MS Mincho"/>
          <w:b/>
          <w:lang w:eastAsia="ja-JP"/>
        </w:rPr>
        <w:t>For random access on non-anchor carriers reinitialize and run the pseudo random frequency generator, based on a non-linear combination of the cell id, the frame and hyper frame numbers, before the start of each NPRACH resource.</w:t>
      </w:r>
    </w:p>
    <w:p w14:paraId="0DDE6327" w14:textId="5BE480A0" w:rsidR="00994A20" w:rsidRDefault="00994A20" w:rsidP="00994A20">
      <w:pPr>
        <w:rPr>
          <w:rFonts w:eastAsia="MS Mincho"/>
          <w:b/>
          <w:lang w:eastAsia="ja-JP"/>
        </w:rPr>
      </w:pPr>
      <w:r w:rsidRPr="00DB3A40">
        <w:rPr>
          <w:rFonts w:eastAsia="MS Mincho"/>
          <w:b/>
          <w:lang w:eastAsia="ja-JP"/>
        </w:rPr>
        <w:t xml:space="preserve">Proposal </w:t>
      </w:r>
      <w:r>
        <w:rPr>
          <w:rFonts w:eastAsia="MS Mincho"/>
          <w:b/>
          <w:lang w:eastAsia="ja-JP"/>
        </w:rPr>
        <w:t>2</w:t>
      </w:r>
      <w:r w:rsidRPr="00DB3A40">
        <w:rPr>
          <w:rFonts w:eastAsia="MS Mincho"/>
          <w:b/>
          <w:lang w:eastAsia="ja-JP"/>
        </w:rPr>
        <w:t xml:space="preserve">: </w:t>
      </w:r>
      <w:r>
        <w:rPr>
          <w:rFonts w:eastAsia="MS Mincho"/>
          <w:b/>
          <w:lang w:eastAsia="ja-JP"/>
        </w:rPr>
        <w:t xml:space="preserve">For random access on non-anchor carriers specify </w:t>
      </w:r>
      <w:r w:rsidRPr="00994A20">
        <w:rPr>
          <w:rFonts w:eastAsia="MS Mincho"/>
          <w:b/>
          <w:i/>
          <w:lang w:eastAsia="ja-JP"/>
        </w:rPr>
        <w:t>c</w:t>
      </w:r>
      <w:r w:rsidRPr="00994A20">
        <w:rPr>
          <w:rFonts w:eastAsia="MS Mincho"/>
          <w:b/>
          <w:i/>
          <w:vertAlign w:val="subscript"/>
          <w:lang w:eastAsia="ja-JP"/>
        </w:rPr>
        <w:t>init</w:t>
      </w:r>
      <w:r>
        <w:rPr>
          <w:rFonts w:eastAsia="MS Mincho"/>
          <w:b/>
          <w:lang w:eastAsia="ja-JP"/>
        </w:rPr>
        <w:t xml:space="preserve"> in accordance with Equation</w:t>
      </w:r>
      <w:r w:rsidR="00C8351E">
        <w:rPr>
          <w:rFonts w:eastAsia="MS Mincho"/>
          <w:b/>
          <w:lang w:eastAsia="ja-JP"/>
        </w:rPr>
        <w:t>s 3 and</w:t>
      </w:r>
      <w:r>
        <w:rPr>
          <w:rFonts w:eastAsia="MS Mincho"/>
          <w:b/>
          <w:lang w:eastAsia="ja-JP"/>
        </w:rPr>
        <w:t xml:space="preserve"> 4:</w:t>
      </w:r>
    </w:p>
    <w:p w14:paraId="308C56A6" w14:textId="77777777" w:rsidR="00C8351E" w:rsidRDefault="00C8351E" w:rsidP="00C8351E">
      <w:pPr>
        <w:jc w:val="center"/>
        <w:rPr>
          <w:rFonts w:eastAsia="MS Mincho"/>
          <w:lang w:eastAsia="ja-JP"/>
        </w:rPr>
      </w:pPr>
      <w:r w:rsidRPr="00A9720B">
        <w:rPr>
          <w:position w:val="-14"/>
        </w:rPr>
        <w:object w:dxaOrig="4180" w:dyaOrig="400" w14:anchorId="3E11162B">
          <v:shape id="_x0000_i1038" type="#_x0000_t75" style="width:207pt;height:19.5pt" o:ole="">
            <v:imagedata r:id="rId26" o:title=""/>
          </v:shape>
          <o:OLEObject Type="Embed" ProgID="Equation.3" ShapeID="_x0000_i1038" DrawAspect="Content" ObjectID="_1568258109" r:id="rId35"/>
        </w:object>
      </w:r>
      <w:r>
        <w:rPr>
          <w:rFonts w:ascii="Arial" w:eastAsia="Times New Roman" w:hAnsi="Arial"/>
          <w:spacing w:val="2"/>
          <w:sz w:val="20"/>
          <w:lang w:val="en-US"/>
        </w:rPr>
        <w:tab/>
      </w:r>
      <w:r>
        <w:rPr>
          <w:rFonts w:ascii="Arial" w:eastAsia="Times New Roman" w:hAnsi="Arial"/>
          <w:spacing w:val="2"/>
          <w:sz w:val="20"/>
          <w:lang w:val="en-US"/>
        </w:rPr>
        <w:tab/>
      </w:r>
      <w:r>
        <w:t>(Eq. 3)</w:t>
      </w:r>
    </w:p>
    <w:p w14:paraId="7232F6A1" w14:textId="47A4CB5F" w:rsidR="00994A20" w:rsidRPr="00994A20" w:rsidRDefault="00994A20" w:rsidP="00994A20">
      <w:pPr>
        <w:pStyle w:val="BodyText"/>
        <w:jc w:val="center"/>
        <w:rPr>
          <w:rFonts w:eastAsia="Times New Roman"/>
          <w:spacing w:val="2"/>
          <w:szCs w:val="22"/>
          <w:lang w:val="en-US"/>
        </w:rPr>
      </w:pPr>
      <w:r w:rsidRPr="007405C0">
        <w:rPr>
          <w:rFonts w:ascii="Arial" w:eastAsia="Times New Roman" w:hAnsi="Arial"/>
          <w:spacing w:val="2"/>
          <w:position w:val="-14"/>
          <w:sz w:val="20"/>
          <w:lang w:val="en-US"/>
        </w:rPr>
        <w:object w:dxaOrig="5880" w:dyaOrig="396" w14:anchorId="282C7481">
          <v:shape id="_x0000_i1039" type="#_x0000_t75" style="width:294pt;height:19.5pt" o:ole="">
            <v:imagedata r:id="rId32" o:title=""/>
          </v:shape>
          <o:OLEObject Type="Embed" ProgID="Equation.3" ShapeID="_x0000_i1039" DrawAspect="Content" ObjectID="_1568258110" r:id="rId36"/>
        </w:object>
      </w:r>
      <w:r w:rsidRPr="007405C0">
        <w:rPr>
          <w:rFonts w:eastAsia="Times New Roman"/>
          <w:spacing w:val="2"/>
          <w:szCs w:val="22"/>
          <w:lang w:val="en-US"/>
        </w:rPr>
        <w:tab/>
        <w:t>(Eq. 4)</w:t>
      </w:r>
    </w:p>
    <w:p w14:paraId="4CD3C138" w14:textId="77777777" w:rsidR="001B4C46" w:rsidRPr="00282882" w:rsidRDefault="001B4C46" w:rsidP="001B4C46">
      <w:pPr>
        <w:pStyle w:val="Heading1"/>
      </w:pPr>
      <w:r w:rsidRPr="00282882">
        <w:lastRenderedPageBreak/>
        <w:t>References</w:t>
      </w:r>
    </w:p>
    <w:p w14:paraId="15065405" w14:textId="4723767D" w:rsidR="00A77026" w:rsidRDefault="00D049CA" w:rsidP="00562C5D">
      <w:pPr>
        <w:pStyle w:val="Reference"/>
        <w:rPr>
          <w:rFonts w:ascii="Times New Roman" w:hAnsi="Times New Roman" w:cs="Times New Roman"/>
          <w:sz w:val="20"/>
          <w:szCs w:val="20"/>
        </w:rPr>
      </w:pPr>
      <w:bookmarkStart w:id="4" w:name="_Ref471288572"/>
      <w:bookmarkStart w:id="5" w:name="_Ref456181409"/>
      <w:bookmarkStart w:id="6" w:name="_Ref477769764"/>
      <w:bookmarkStart w:id="7" w:name="_Ref425332273"/>
      <w:r w:rsidRPr="00094D1B">
        <w:rPr>
          <w:rFonts w:ascii="Times New Roman" w:hAnsi="Times New Roman" w:cs="Times New Roman"/>
          <w:sz w:val="20"/>
          <w:szCs w:val="20"/>
        </w:rPr>
        <w:t>RP-</w:t>
      </w:r>
      <w:r w:rsidR="00562C5D" w:rsidRPr="00094D1B">
        <w:rPr>
          <w:rFonts w:ascii="Times New Roman" w:hAnsi="Times New Roman" w:cs="Times New Roman"/>
          <w:sz w:val="20"/>
          <w:szCs w:val="20"/>
        </w:rPr>
        <w:t>170</w:t>
      </w:r>
      <w:r w:rsidR="00CE0C59" w:rsidRPr="00094D1B">
        <w:rPr>
          <w:rFonts w:ascii="Times New Roman" w:hAnsi="Times New Roman" w:cs="Times New Roman"/>
          <w:sz w:val="20"/>
          <w:szCs w:val="20"/>
        </w:rPr>
        <w:t>836</w:t>
      </w:r>
      <w:r w:rsidRPr="00094D1B">
        <w:rPr>
          <w:rFonts w:ascii="Times New Roman" w:hAnsi="Times New Roman" w:cs="Times New Roman"/>
          <w:sz w:val="20"/>
          <w:szCs w:val="20"/>
        </w:rPr>
        <w:t>, “</w:t>
      </w:r>
      <w:bookmarkEnd w:id="4"/>
      <w:bookmarkEnd w:id="5"/>
      <w:r w:rsidR="00CE0C59" w:rsidRPr="00094D1B">
        <w:rPr>
          <w:rFonts w:ascii="Times New Roman" w:hAnsi="Times New Roman" w:cs="Times New Roman"/>
          <w:sz w:val="20"/>
          <w:szCs w:val="20"/>
        </w:rPr>
        <w:t>F</w:t>
      </w:r>
      <w:r w:rsidR="00562C5D" w:rsidRPr="00094D1B">
        <w:rPr>
          <w:rFonts w:ascii="Times New Roman" w:hAnsi="Times New Roman" w:cs="Times New Roman"/>
          <w:sz w:val="20"/>
          <w:szCs w:val="20"/>
        </w:rPr>
        <w:t xml:space="preserve">urther </w:t>
      </w:r>
      <w:r w:rsidR="00CE0C59" w:rsidRPr="00094D1B">
        <w:rPr>
          <w:rFonts w:ascii="Times New Roman" w:hAnsi="Times New Roman" w:cs="Times New Roman"/>
          <w:sz w:val="20"/>
          <w:szCs w:val="20"/>
        </w:rPr>
        <w:t>NB-IoT enhancements</w:t>
      </w:r>
      <w:r w:rsidR="00562C5D" w:rsidRPr="00094D1B">
        <w:rPr>
          <w:rFonts w:ascii="Times New Roman" w:hAnsi="Times New Roman" w:cs="Times New Roman"/>
          <w:sz w:val="20"/>
          <w:szCs w:val="20"/>
        </w:rPr>
        <w:t>”, RAN#75</w:t>
      </w:r>
      <w:bookmarkEnd w:id="6"/>
    </w:p>
    <w:p w14:paraId="36857725" w14:textId="050A7230" w:rsidR="001F30A5" w:rsidRPr="00094D1B" w:rsidRDefault="001F30A5" w:rsidP="00562C5D">
      <w:pPr>
        <w:pStyle w:val="Reference"/>
        <w:rPr>
          <w:rFonts w:ascii="Times New Roman" w:hAnsi="Times New Roman" w:cs="Times New Roman"/>
          <w:sz w:val="20"/>
          <w:szCs w:val="20"/>
        </w:rPr>
      </w:pPr>
      <w:bookmarkStart w:id="8" w:name="_Ref482283543"/>
      <w:r>
        <w:rPr>
          <w:rFonts w:ascii="Times New Roman" w:hAnsi="Times New Roman" w:cs="Times New Roman"/>
          <w:sz w:val="20"/>
          <w:szCs w:val="20"/>
        </w:rPr>
        <w:t>R1-1706891, “NPRACH false alarm reduction”, RAN1#89, Ericsson</w:t>
      </w:r>
      <w:bookmarkEnd w:id="8"/>
    </w:p>
    <w:bookmarkEnd w:id="1"/>
    <w:bookmarkEnd w:id="2"/>
    <w:bookmarkEnd w:id="7"/>
    <w:p w14:paraId="2C38F18B" w14:textId="22564533" w:rsidR="00385738" w:rsidRPr="00094D1B" w:rsidRDefault="00385738" w:rsidP="005A75AC">
      <w:pPr>
        <w:pStyle w:val="Caption"/>
        <w:jc w:val="both"/>
        <w:rPr>
          <w:sz w:val="20"/>
        </w:rPr>
      </w:pPr>
    </w:p>
    <w:sectPr w:rsidR="00385738" w:rsidRPr="00094D1B" w:rsidSect="00A40951">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89867" w14:textId="77777777" w:rsidR="00CE31D6" w:rsidRDefault="00CE31D6">
      <w:r>
        <w:separator/>
      </w:r>
    </w:p>
  </w:endnote>
  <w:endnote w:type="continuationSeparator" w:id="0">
    <w:p w14:paraId="07E8D70D" w14:textId="77777777" w:rsidR="00CE31D6" w:rsidRDefault="00CE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18630C" w:rsidRDefault="0018630C"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C89E6" w14:textId="77777777" w:rsidR="00CE31D6" w:rsidRDefault="00CE31D6">
      <w:r>
        <w:separator/>
      </w:r>
    </w:p>
  </w:footnote>
  <w:footnote w:type="continuationSeparator" w:id="0">
    <w:p w14:paraId="311DC3B2" w14:textId="77777777" w:rsidR="00CE31D6" w:rsidRDefault="00CE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5"/>
  </w:num>
  <w:num w:numId="8">
    <w:abstractNumId w:val="8"/>
  </w:num>
  <w:num w:numId="9">
    <w:abstractNumId w:val="4"/>
  </w:num>
  <w:num w:numId="10">
    <w:abstractNumId w:val="1"/>
  </w:num>
  <w:num w:numId="11">
    <w:abstractNumId w:val="6"/>
  </w:num>
  <w:num w:numId="12">
    <w:abstractNumId w:val="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27C7E"/>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154F"/>
    <w:rsid w:val="00094048"/>
    <w:rsid w:val="000948D4"/>
    <w:rsid w:val="00094D1B"/>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583"/>
    <w:rsid w:val="000B4DBB"/>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1D17"/>
    <w:rsid w:val="000E20F5"/>
    <w:rsid w:val="000E65AC"/>
    <w:rsid w:val="000F03A2"/>
    <w:rsid w:val="000F144F"/>
    <w:rsid w:val="000F1D58"/>
    <w:rsid w:val="000F3AF1"/>
    <w:rsid w:val="000F60B2"/>
    <w:rsid w:val="000F62CE"/>
    <w:rsid w:val="000F642E"/>
    <w:rsid w:val="000F6443"/>
    <w:rsid w:val="000F706B"/>
    <w:rsid w:val="000F7A4D"/>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571"/>
    <w:rsid w:val="00161EA0"/>
    <w:rsid w:val="00163A68"/>
    <w:rsid w:val="00166D37"/>
    <w:rsid w:val="00167BA2"/>
    <w:rsid w:val="00167CDD"/>
    <w:rsid w:val="001716BD"/>
    <w:rsid w:val="00172F7E"/>
    <w:rsid w:val="00173849"/>
    <w:rsid w:val="00176E0B"/>
    <w:rsid w:val="00177E3E"/>
    <w:rsid w:val="001805E5"/>
    <w:rsid w:val="001807D0"/>
    <w:rsid w:val="00182390"/>
    <w:rsid w:val="0018445C"/>
    <w:rsid w:val="001844BE"/>
    <w:rsid w:val="001849C3"/>
    <w:rsid w:val="00185110"/>
    <w:rsid w:val="001860B6"/>
    <w:rsid w:val="0018630C"/>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5642"/>
    <w:rsid w:val="001D6428"/>
    <w:rsid w:val="001D6E54"/>
    <w:rsid w:val="001E23AD"/>
    <w:rsid w:val="001E29D0"/>
    <w:rsid w:val="001E2BCB"/>
    <w:rsid w:val="001E2C93"/>
    <w:rsid w:val="001E312E"/>
    <w:rsid w:val="001E34AE"/>
    <w:rsid w:val="001E3944"/>
    <w:rsid w:val="001E3A2E"/>
    <w:rsid w:val="001E3EBE"/>
    <w:rsid w:val="001E3FFB"/>
    <w:rsid w:val="001E5234"/>
    <w:rsid w:val="001E5BB4"/>
    <w:rsid w:val="001F0191"/>
    <w:rsid w:val="001F0975"/>
    <w:rsid w:val="001F14D8"/>
    <w:rsid w:val="001F2511"/>
    <w:rsid w:val="001F2699"/>
    <w:rsid w:val="001F30A5"/>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5B76"/>
    <w:rsid w:val="00227A48"/>
    <w:rsid w:val="00230028"/>
    <w:rsid w:val="0023122F"/>
    <w:rsid w:val="002318E7"/>
    <w:rsid w:val="00231A5C"/>
    <w:rsid w:val="00231E02"/>
    <w:rsid w:val="00232FBD"/>
    <w:rsid w:val="0023356D"/>
    <w:rsid w:val="00233DAA"/>
    <w:rsid w:val="002348B1"/>
    <w:rsid w:val="00235E2E"/>
    <w:rsid w:val="002367CC"/>
    <w:rsid w:val="002373B4"/>
    <w:rsid w:val="0023747D"/>
    <w:rsid w:val="00237E20"/>
    <w:rsid w:val="00242604"/>
    <w:rsid w:val="00242CAE"/>
    <w:rsid w:val="00243B78"/>
    <w:rsid w:val="0024454B"/>
    <w:rsid w:val="00244ADE"/>
    <w:rsid w:val="0024574A"/>
    <w:rsid w:val="002472D5"/>
    <w:rsid w:val="0024797B"/>
    <w:rsid w:val="00247A15"/>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4656"/>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0000"/>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78B"/>
    <w:rsid w:val="002C4E77"/>
    <w:rsid w:val="002C5932"/>
    <w:rsid w:val="002C5B75"/>
    <w:rsid w:val="002C5D4E"/>
    <w:rsid w:val="002C7D07"/>
    <w:rsid w:val="002D15DC"/>
    <w:rsid w:val="002D34AF"/>
    <w:rsid w:val="002D5862"/>
    <w:rsid w:val="002D5960"/>
    <w:rsid w:val="002D7695"/>
    <w:rsid w:val="002E1760"/>
    <w:rsid w:val="002E2B4A"/>
    <w:rsid w:val="002E3ED5"/>
    <w:rsid w:val="002E487A"/>
    <w:rsid w:val="002E48DA"/>
    <w:rsid w:val="002E4D4A"/>
    <w:rsid w:val="002E6775"/>
    <w:rsid w:val="002E7B6E"/>
    <w:rsid w:val="002F34EB"/>
    <w:rsid w:val="002F4A9C"/>
    <w:rsid w:val="002F4C01"/>
    <w:rsid w:val="002F4FA6"/>
    <w:rsid w:val="002F60BC"/>
    <w:rsid w:val="002F6970"/>
    <w:rsid w:val="002F6C6A"/>
    <w:rsid w:val="002F6C86"/>
    <w:rsid w:val="002F763A"/>
    <w:rsid w:val="002F7F28"/>
    <w:rsid w:val="00300390"/>
    <w:rsid w:val="00300A13"/>
    <w:rsid w:val="00300B8C"/>
    <w:rsid w:val="00300F8A"/>
    <w:rsid w:val="00301B94"/>
    <w:rsid w:val="00302AC9"/>
    <w:rsid w:val="003035B6"/>
    <w:rsid w:val="00303D52"/>
    <w:rsid w:val="0030426B"/>
    <w:rsid w:val="00304ACB"/>
    <w:rsid w:val="00307EE1"/>
    <w:rsid w:val="00310A5A"/>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A42"/>
    <w:rsid w:val="0034059C"/>
    <w:rsid w:val="0034170D"/>
    <w:rsid w:val="003420DC"/>
    <w:rsid w:val="003447B4"/>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0699"/>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13B"/>
    <w:rsid w:val="003C53A8"/>
    <w:rsid w:val="003C5A79"/>
    <w:rsid w:val="003C6E9D"/>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2692B"/>
    <w:rsid w:val="00430BE9"/>
    <w:rsid w:val="00431643"/>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045E"/>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5D97"/>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2EA"/>
    <w:rsid w:val="004E0DA7"/>
    <w:rsid w:val="004E2241"/>
    <w:rsid w:val="004E2C2D"/>
    <w:rsid w:val="004E3190"/>
    <w:rsid w:val="004E4715"/>
    <w:rsid w:val="004E5031"/>
    <w:rsid w:val="004F0066"/>
    <w:rsid w:val="004F0C1F"/>
    <w:rsid w:val="004F2493"/>
    <w:rsid w:val="004F2804"/>
    <w:rsid w:val="004F388C"/>
    <w:rsid w:val="004F4877"/>
    <w:rsid w:val="004F488F"/>
    <w:rsid w:val="004F5A7B"/>
    <w:rsid w:val="004F7CA6"/>
    <w:rsid w:val="004F7F5C"/>
    <w:rsid w:val="0050039C"/>
    <w:rsid w:val="00501A77"/>
    <w:rsid w:val="00502129"/>
    <w:rsid w:val="005030F5"/>
    <w:rsid w:val="005034E7"/>
    <w:rsid w:val="005046CC"/>
    <w:rsid w:val="0050481E"/>
    <w:rsid w:val="00505BE9"/>
    <w:rsid w:val="00506F7D"/>
    <w:rsid w:val="00506FCB"/>
    <w:rsid w:val="005106DB"/>
    <w:rsid w:val="00511F22"/>
    <w:rsid w:val="00513864"/>
    <w:rsid w:val="00515EFD"/>
    <w:rsid w:val="0051669B"/>
    <w:rsid w:val="00516B95"/>
    <w:rsid w:val="00517656"/>
    <w:rsid w:val="005177F4"/>
    <w:rsid w:val="00517EED"/>
    <w:rsid w:val="00517F9E"/>
    <w:rsid w:val="005218B2"/>
    <w:rsid w:val="005227F4"/>
    <w:rsid w:val="005230CD"/>
    <w:rsid w:val="0052420E"/>
    <w:rsid w:val="00524BF8"/>
    <w:rsid w:val="00524FF3"/>
    <w:rsid w:val="00527399"/>
    <w:rsid w:val="005276D8"/>
    <w:rsid w:val="00530B2D"/>
    <w:rsid w:val="00531DA8"/>
    <w:rsid w:val="00534BFB"/>
    <w:rsid w:val="00536649"/>
    <w:rsid w:val="005367A8"/>
    <w:rsid w:val="00536997"/>
    <w:rsid w:val="005409F3"/>
    <w:rsid w:val="00541E48"/>
    <w:rsid w:val="00542B9A"/>
    <w:rsid w:val="0054440F"/>
    <w:rsid w:val="005450AA"/>
    <w:rsid w:val="0054541A"/>
    <w:rsid w:val="00545E26"/>
    <w:rsid w:val="00545E2F"/>
    <w:rsid w:val="00546845"/>
    <w:rsid w:val="00546859"/>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B16E7"/>
    <w:rsid w:val="005B4427"/>
    <w:rsid w:val="005B4D4C"/>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07"/>
    <w:rsid w:val="00612A9C"/>
    <w:rsid w:val="006140CD"/>
    <w:rsid w:val="0061487F"/>
    <w:rsid w:val="00614CC2"/>
    <w:rsid w:val="006160CA"/>
    <w:rsid w:val="006166B3"/>
    <w:rsid w:val="00616889"/>
    <w:rsid w:val="0061696F"/>
    <w:rsid w:val="00617BD0"/>
    <w:rsid w:val="00617FEE"/>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C1A"/>
    <w:rsid w:val="00642285"/>
    <w:rsid w:val="0064291E"/>
    <w:rsid w:val="006437BC"/>
    <w:rsid w:val="00643F0A"/>
    <w:rsid w:val="0064487B"/>
    <w:rsid w:val="00644DA1"/>
    <w:rsid w:val="00644E36"/>
    <w:rsid w:val="00646BBF"/>
    <w:rsid w:val="00647099"/>
    <w:rsid w:val="00650886"/>
    <w:rsid w:val="006526A5"/>
    <w:rsid w:val="006530E2"/>
    <w:rsid w:val="00655F24"/>
    <w:rsid w:val="00656CA4"/>
    <w:rsid w:val="00656D75"/>
    <w:rsid w:val="006572BB"/>
    <w:rsid w:val="006577A2"/>
    <w:rsid w:val="00660070"/>
    <w:rsid w:val="006603B7"/>
    <w:rsid w:val="006606FF"/>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2F4"/>
    <w:rsid w:val="006A36C9"/>
    <w:rsid w:val="006A3F66"/>
    <w:rsid w:val="006B0901"/>
    <w:rsid w:val="006B0F15"/>
    <w:rsid w:val="006B133C"/>
    <w:rsid w:val="006B1BC4"/>
    <w:rsid w:val="006B214D"/>
    <w:rsid w:val="006B3C35"/>
    <w:rsid w:val="006B3E21"/>
    <w:rsid w:val="006B40F1"/>
    <w:rsid w:val="006B4A0A"/>
    <w:rsid w:val="006B4F67"/>
    <w:rsid w:val="006B57BD"/>
    <w:rsid w:val="006B6499"/>
    <w:rsid w:val="006B6A7A"/>
    <w:rsid w:val="006B6C6E"/>
    <w:rsid w:val="006C1643"/>
    <w:rsid w:val="006C1794"/>
    <w:rsid w:val="006C17E3"/>
    <w:rsid w:val="006C4DE2"/>
    <w:rsid w:val="006C602A"/>
    <w:rsid w:val="006C6A1A"/>
    <w:rsid w:val="006C6E9B"/>
    <w:rsid w:val="006C716E"/>
    <w:rsid w:val="006D1C66"/>
    <w:rsid w:val="006D29F7"/>
    <w:rsid w:val="006D2F71"/>
    <w:rsid w:val="006D4F22"/>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2DD9"/>
    <w:rsid w:val="00733A65"/>
    <w:rsid w:val="0073693E"/>
    <w:rsid w:val="0073779D"/>
    <w:rsid w:val="007405C0"/>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412E"/>
    <w:rsid w:val="007842CB"/>
    <w:rsid w:val="007849B2"/>
    <w:rsid w:val="007866D1"/>
    <w:rsid w:val="00790F39"/>
    <w:rsid w:val="00791ABC"/>
    <w:rsid w:val="00792F1D"/>
    <w:rsid w:val="00793C26"/>
    <w:rsid w:val="007950A6"/>
    <w:rsid w:val="00795EE3"/>
    <w:rsid w:val="007A1033"/>
    <w:rsid w:val="007A1074"/>
    <w:rsid w:val="007A164C"/>
    <w:rsid w:val="007A21FC"/>
    <w:rsid w:val="007A2D6A"/>
    <w:rsid w:val="007A3AC8"/>
    <w:rsid w:val="007A3B24"/>
    <w:rsid w:val="007A4DCF"/>
    <w:rsid w:val="007A5A52"/>
    <w:rsid w:val="007A5E21"/>
    <w:rsid w:val="007A60BB"/>
    <w:rsid w:val="007A6D6B"/>
    <w:rsid w:val="007A6FB8"/>
    <w:rsid w:val="007B0BC2"/>
    <w:rsid w:val="007B25EA"/>
    <w:rsid w:val="007B2E14"/>
    <w:rsid w:val="007B3353"/>
    <w:rsid w:val="007B352A"/>
    <w:rsid w:val="007B4FE7"/>
    <w:rsid w:val="007B5268"/>
    <w:rsid w:val="007C1603"/>
    <w:rsid w:val="007C38C7"/>
    <w:rsid w:val="007C4DC1"/>
    <w:rsid w:val="007C577F"/>
    <w:rsid w:val="007C6E80"/>
    <w:rsid w:val="007C7675"/>
    <w:rsid w:val="007C7E6D"/>
    <w:rsid w:val="007D1E8F"/>
    <w:rsid w:val="007D2274"/>
    <w:rsid w:val="007D241F"/>
    <w:rsid w:val="007D250D"/>
    <w:rsid w:val="007D368A"/>
    <w:rsid w:val="007D5A90"/>
    <w:rsid w:val="007E0C4E"/>
    <w:rsid w:val="007E10A2"/>
    <w:rsid w:val="007E16A5"/>
    <w:rsid w:val="007E3240"/>
    <w:rsid w:val="007E3888"/>
    <w:rsid w:val="007E577E"/>
    <w:rsid w:val="007E5AE3"/>
    <w:rsid w:val="007E618D"/>
    <w:rsid w:val="007E788B"/>
    <w:rsid w:val="007F0599"/>
    <w:rsid w:val="007F1207"/>
    <w:rsid w:val="007F2F54"/>
    <w:rsid w:val="007F4185"/>
    <w:rsid w:val="007F4B88"/>
    <w:rsid w:val="007F74B3"/>
    <w:rsid w:val="008001FB"/>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2197"/>
    <w:rsid w:val="00842551"/>
    <w:rsid w:val="0084290D"/>
    <w:rsid w:val="00843935"/>
    <w:rsid w:val="00843FE0"/>
    <w:rsid w:val="00844F8A"/>
    <w:rsid w:val="008477A0"/>
    <w:rsid w:val="008528AD"/>
    <w:rsid w:val="00852DB4"/>
    <w:rsid w:val="00853011"/>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B"/>
    <w:rsid w:val="008873DD"/>
    <w:rsid w:val="00887B89"/>
    <w:rsid w:val="0089012E"/>
    <w:rsid w:val="00891906"/>
    <w:rsid w:val="00891E4D"/>
    <w:rsid w:val="00895AF3"/>
    <w:rsid w:val="00897751"/>
    <w:rsid w:val="008A06D6"/>
    <w:rsid w:val="008A1DE5"/>
    <w:rsid w:val="008A2D83"/>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636B"/>
    <w:rsid w:val="008E7A58"/>
    <w:rsid w:val="008F1079"/>
    <w:rsid w:val="008F25F8"/>
    <w:rsid w:val="008F4349"/>
    <w:rsid w:val="008F5CAB"/>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381F"/>
    <w:rsid w:val="00924A1B"/>
    <w:rsid w:val="0092741B"/>
    <w:rsid w:val="00927B1B"/>
    <w:rsid w:val="00927C8B"/>
    <w:rsid w:val="009300F9"/>
    <w:rsid w:val="009302C2"/>
    <w:rsid w:val="0093123B"/>
    <w:rsid w:val="00933164"/>
    <w:rsid w:val="00933C37"/>
    <w:rsid w:val="0093477D"/>
    <w:rsid w:val="00934C02"/>
    <w:rsid w:val="00942674"/>
    <w:rsid w:val="009426F6"/>
    <w:rsid w:val="009450A8"/>
    <w:rsid w:val="0094632A"/>
    <w:rsid w:val="0094743B"/>
    <w:rsid w:val="00947D45"/>
    <w:rsid w:val="009504B8"/>
    <w:rsid w:val="00951222"/>
    <w:rsid w:val="00951365"/>
    <w:rsid w:val="00951625"/>
    <w:rsid w:val="00951A4B"/>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621D"/>
    <w:rsid w:val="00986C1A"/>
    <w:rsid w:val="00987616"/>
    <w:rsid w:val="00987A31"/>
    <w:rsid w:val="00990668"/>
    <w:rsid w:val="0099242D"/>
    <w:rsid w:val="009924B0"/>
    <w:rsid w:val="00994A2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28DE"/>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02F"/>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BAC"/>
    <w:rsid w:val="00A62871"/>
    <w:rsid w:val="00A62F2E"/>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032"/>
    <w:rsid w:val="00A93C5E"/>
    <w:rsid w:val="00A93F29"/>
    <w:rsid w:val="00A93F8F"/>
    <w:rsid w:val="00A94113"/>
    <w:rsid w:val="00A958B1"/>
    <w:rsid w:val="00A96DB3"/>
    <w:rsid w:val="00A96F11"/>
    <w:rsid w:val="00A9720B"/>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B7F"/>
    <w:rsid w:val="00AD3135"/>
    <w:rsid w:val="00AD4175"/>
    <w:rsid w:val="00AD5936"/>
    <w:rsid w:val="00AD6129"/>
    <w:rsid w:val="00AD6B7E"/>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0F55"/>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4C7B"/>
    <w:rsid w:val="00B8717D"/>
    <w:rsid w:val="00B873C3"/>
    <w:rsid w:val="00B87E5A"/>
    <w:rsid w:val="00B902C3"/>
    <w:rsid w:val="00B9070E"/>
    <w:rsid w:val="00B92A16"/>
    <w:rsid w:val="00B92FE9"/>
    <w:rsid w:val="00B92FFA"/>
    <w:rsid w:val="00B93605"/>
    <w:rsid w:val="00B95B0B"/>
    <w:rsid w:val="00B9659A"/>
    <w:rsid w:val="00BA0A3C"/>
    <w:rsid w:val="00BA1D89"/>
    <w:rsid w:val="00BA2BBC"/>
    <w:rsid w:val="00BA44F6"/>
    <w:rsid w:val="00BA5697"/>
    <w:rsid w:val="00BA5925"/>
    <w:rsid w:val="00BA750B"/>
    <w:rsid w:val="00BB03F9"/>
    <w:rsid w:val="00BB3C54"/>
    <w:rsid w:val="00BB409B"/>
    <w:rsid w:val="00BB4163"/>
    <w:rsid w:val="00BB4C3A"/>
    <w:rsid w:val="00BB5094"/>
    <w:rsid w:val="00BB5718"/>
    <w:rsid w:val="00BB5E89"/>
    <w:rsid w:val="00BB6342"/>
    <w:rsid w:val="00BC0DAE"/>
    <w:rsid w:val="00BC337C"/>
    <w:rsid w:val="00BC3D9D"/>
    <w:rsid w:val="00BC3FC0"/>
    <w:rsid w:val="00BC4172"/>
    <w:rsid w:val="00BC5E27"/>
    <w:rsid w:val="00BC613D"/>
    <w:rsid w:val="00BC6C9E"/>
    <w:rsid w:val="00BC78AE"/>
    <w:rsid w:val="00BD1168"/>
    <w:rsid w:val="00BD4239"/>
    <w:rsid w:val="00BD55AD"/>
    <w:rsid w:val="00BD65D8"/>
    <w:rsid w:val="00BD6F66"/>
    <w:rsid w:val="00BD7673"/>
    <w:rsid w:val="00BE0B2B"/>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BEB"/>
    <w:rsid w:val="00C03E12"/>
    <w:rsid w:val="00C03F2C"/>
    <w:rsid w:val="00C0414B"/>
    <w:rsid w:val="00C0440D"/>
    <w:rsid w:val="00C04461"/>
    <w:rsid w:val="00C04C64"/>
    <w:rsid w:val="00C065EE"/>
    <w:rsid w:val="00C07651"/>
    <w:rsid w:val="00C078CC"/>
    <w:rsid w:val="00C11E33"/>
    <w:rsid w:val="00C12244"/>
    <w:rsid w:val="00C127E4"/>
    <w:rsid w:val="00C130A8"/>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10"/>
    <w:rsid w:val="00C47791"/>
    <w:rsid w:val="00C50462"/>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3B7B"/>
    <w:rsid w:val="00C7459D"/>
    <w:rsid w:val="00C750C2"/>
    <w:rsid w:val="00C75B0F"/>
    <w:rsid w:val="00C760D8"/>
    <w:rsid w:val="00C80CD1"/>
    <w:rsid w:val="00C82DE0"/>
    <w:rsid w:val="00C82DE9"/>
    <w:rsid w:val="00C82F2D"/>
    <w:rsid w:val="00C833FC"/>
    <w:rsid w:val="00C8351E"/>
    <w:rsid w:val="00C85009"/>
    <w:rsid w:val="00C8503C"/>
    <w:rsid w:val="00C858C2"/>
    <w:rsid w:val="00C863CE"/>
    <w:rsid w:val="00C8719C"/>
    <w:rsid w:val="00C91225"/>
    <w:rsid w:val="00C92492"/>
    <w:rsid w:val="00C92D91"/>
    <w:rsid w:val="00C93035"/>
    <w:rsid w:val="00C94257"/>
    <w:rsid w:val="00C94287"/>
    <w:rsid w:val="00C95426"/>
    <w:rsid w:val="00C9573C"/>
    <w:rsid w:val="00CA3CDE"/>
    <w:rsid w:val="00CA46BC"/>
    <w:rsid w:val="00CA6C67"/>
    <w:rsid w:val="00CB0BD7"/>
    <w:rsid w:val="00CB0D6C"/>
    <w:rsid w:val="00CB2F0B"/>
    <w:rsid w:val="00CB6A16"/>
    <w:rsid w:val="00CC0CBF"/>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0C59"/>
    <w:rsid w:val="00CE1EF5"/>
    <w:rsid w:val="00CE31D6"/>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F32"/>
    <w:rsid w:val="00D92EE6"/>
    <w:rsid w:val="00D932D7"/>
    <w:rsid w:val="00D937E5"/>
    <w:rsid w:val="00D93E80"/>
    <w:rsid w:val="00D94598"/>
    <w:rsid w:val="00D946C9"/>
    <w:rsid w:val="00D948AB"/>
    <w:rsid w:val="00D96B70"/>
    <w:rsid w:val="00D97012"/>
    <w:rsid w:val="00DA13D4"/>
    <w:rsid w:val="00DA1524"/>
    <w:rsid w:val="00DA4775"/>
    <w:rsid w:val="00DA6F87"/>
    <w:rsid w:val="00DA74B9"/>
    <w:rsid w:val="00DB1DFD"/>
    <w:rsid w:val="00DB2706"/>
    <w:rsid w:val="00DB387A"/>
    <w:rsid w:val="00DB3A40"/>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0B6"/>
    <w:rsid w:val="00DF37AF"/>
    <w:rsid w:val="00DF4AB6"/>
    <w:rsid w:val="00DF7AE1"/>
    <w:rsid w:val="00E03F83"/>
    <w:rsid w:val="00E05214"/>
    <w:rsid w:val="00E053DE"/>
    <w:rsid w:val="00E05786"/>
    <w:rsid w:val="00E064B5"/>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519F"/>
    <w:rsid w:val="00E27F87"/>
    <w:rsid w:val="00E30134"/>
    <w:rsid w:val="00E323B0"/>
    <w:rsid w:val="00E3325F"/>
    <w:rsid w:val="00E33A4A"/>
    <w:rsid w:val="00E34CDC"/>
    <w:rsid w:val="00E35BA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2890"/>
    <w:rsid w:val="00E97D70"/>
    <w:rsid w:val="00EA093E"/>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18A7"/>
    <w:rsid w:val="00F52A75"/>
    <w:rsid w:val="00F52B65"/>
    <w:rsid w:val="00F53291"/>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2FD5"/>
    <w:rsid w:val="00FB3F21"/>
    <w:rsid w:val="00FB48D1"/>
    <w:rsid w:val="00FB4B6F"/>
    <w:rsid w:val="00FB588B"/>
    <w:rsid w:val="00FB5B04"/>
    <w:rsid w:val="00FC0663"/>
    <w:rsid w:val="00FC0E12"/>
    <w:rsid w:val="00FC0E92"/>
    <w:rsid w:val="00FC1AB4"/>
    <w:rsid w:val="00FC222E"/>
    <w:rsid w:val="00FC2FF5"/>
    <w:rsid w:val="00FC32C8"/>
    <w:rsid w:val="00FC3562"/>
    <w:rsid w:val="00FC3586"/>
    <w:rsid w:val="00FD0B4D"/>
    <w:rsid w:val="00FD0C1D"/>
    <w:rsid w:val="00FD5005"/>
    <w:rsid w:val="00FD5ADD"/>
    <w:rsid w:val="00FD5C9F"/>
    <w:rsid w:val="00FD5DF0"/>
    <w:rsid w:val="00FE0386"/>
    <w:rsid w:val="00FE27D3"/>
    <w:rsid w:val="00FE369B"/>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Observation">
    <w:name w:val="Observation"/>
    <w:basedOn w:val="Normal"/>
    <w:qFormat/>
    <w:rsid w:val="0018630C"/>
    <w:pPr>
      <w:numPr>
        <w:numId w:val="11"/>
      </w:numPr>
      <w:tabs>
        <w:tab w:val="left" w:pos="1701"/>
      </w:tabs>
      <w:ind w:left="1701" w:hanging="1701"/>
    </w:pPr>
    <w:rPr>
      <w:rFonts w:eastAsia="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5390">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383216048">
      <w:bodyDiv w:val="1"/>
      <w:marLeft w:val="0"/>
      <w:marRight w:val="0"/>
      <w:marTop w:val="0"/>
      <w:marBottom w:val="0"/>
      <w:divBdr>
        <w:top w:val="none" w:sz="0" w:space="0" w:color="auto"/>
        <w:left w:val="none" w:sz="0" w:space="0" w:color="auto"/>
        <w:bottom w:val="none" w:sz="0" w:space="0" w:color="auto"/>
        <w:right w:val="none" w:sz="0" w:space="0" w:color="auto"/>
      </w:divBdr>
    </w:div>
    <w:div w:id="465201691">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704985495">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49121600">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593B-1E4D-4EFB-9210-4E36D117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2017-09-28T20:20:00Z</dcterms:created>
  <dcterms:modified xsi:type="dcterms:W3CDTF">2017-09-30T04:28:00Z</dcterms:modified>
</cp:coreProperties>
</file>